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FB" w:rsidRDefault="009324F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324FB" w:rsidRDefault="009324FB">
      <w:pPr>
        <w:pStyle w:val="ConsPlusNormal"/>
        <w:jc w:val="both"/>
        <w:outlineLvl w:val="0"/>
      </w:pPr>
    </w:p>
    <w:p w:rsidR="009324FB" w:rsidRDefault="009324FB">
      <w:pPr>
        <w:pStyle w:val="ConsPlusTitle"/>
        <w:jc w:val="center"/>
        <w:outlineLvl w:val="0"/>
      </w:pPr>
      <w:r>
        <w:t>ПРАВИТЕЛЬСТВО КАМЧАТСКОГО КРАЯ</w:t>
      </w:r>
    </w:p>
    <w:p w:rsidR="009324FB" w:rsidRDefault="009324FB">
      <w:pPr>
        <w:pStyle w:val="ConsPlusTitle"/>
        <w:jc w:val="center"/>
      </w:pPr>
    </w:p>
    <w:p w:rsidR="009324FB" w:rsidRDefault="009324FB">
      <w:pPr>
        <w:pStyle w:val="ConsPlusTitle"/>
        <w:jc w:val="center"/>
      </w:pPr>
      <w:r>
        <w:t>РАСПОРЯЖЕНИЕ</w:t>
      </w:r>
    </w:p>
    <w:p w:rsidR="009324FB" w:rsidRDefault="009324FB">
      <w:pPr>
        <w:pStyle w:val="ConsPlusTitle"/>
        <w:jc w:val="center"/>
      </w:pPr>
      <w:r>
        <w:t>от 24 июня 2011 г. N 289-РП</w:t>
      </w:r>
    </w:p>
    <w:p w:rsidR="009324FB" w:rsidRDefault="009324FB">
      <w:pPr>
        <w:pStyle w:val="ConsPlusNormal"/>
        <w:jc w:val="both"/>
      </w:pPr>
    </w:p>
    <w:p w:rsidR="009324FB" w:rsidRDefault="009324FB">
      <w:pPr>
        <w:pStyle w:val="ConsPlusNormal"/>
        <w:ind w:firstLine="540"/>
        <w:jc w:val="both"/>
      </w:pPr>
      <w:r>
        <w:t>Во исполнение перечня поручений Президента Российской Федерации по итогам совещания по вопросам социально-экономического развития Камчатского края (Пр-1680 от 05.09.2007), в целях обеспечения развития системы газоснабжения в Камчатском крае</w:t>
      </w:r>
    </w:p>
    <w:p w:rsidR="009324FB" w:rsidRDefault="009324FB">
      <w:pPr>
        <w:pStyle w:val="ConsPlusNormal"/>
        <w:jc w:val="both"/>
      </w:pPr>
    </w:p>
    <w:p w:rsidR="009324FB" w:rsidRDefault="009324FB">
      <w:pPr>
        <w:pStyle w:val="ConsPlusNormal"/>
        <w:ind w:firstLine="540"/>
        <w:jc w:val="both"/>
      </w:pPr>
      <w:r>
        <w:t xml:space="preserve">утвердить </w:t>
      </w:r>
      <w:hyperlink w:anchor="P23" w:history="1">
        <w:r>
          <w:rPr>
            <w:color w:val="0000FF"/>
          </w:rPr>
          <w:t>программу</w:t>
        </w:r>
      </w:hyperlink>
      <w:r>
        <w:t xml:space="preserve"> газификации Камчатского края согласно приложению.</w:t>
      </w:r>
    </w:p>
    <w:p w:rsidR="009324FB" w:rsidRDefault="009324FB">
      <w:pPr>
        <w:pStyle w:val="ConsPlusNormal"/>
        <w:jc w:val="both"/>
      </w:pPr>
    </w:p>
    <w:p w:rsidR="009324FB" w:rsidRDefault="009324FB">
      <w:pPr>
        <w:pStyle w:val="ConsPlusNormal"/>
        <w:jc w:val="right"/>
      </w:pPr>
      <w:r>
        <w:t>Губернатор</w:t>
      </w:r>
    </w:p>
    <w:p w:rsidR="009324FB" w:rsidRDefault="009324FB">
      <w:pPr>
        <w:pStyle w:val="ConsPlusNormal"/>
        <w:jc w:val="right"/>
      </w:pPr>
      <w:r>
        <w:t>Камчатского края</w:t>
      </w:r>
    </w:p>
    <w:p w:rsidR="009324FB" w:rsidRDefault="009324FB">
      <w:pPr>
        <w:pStyle w:val="ConsPlusNormal"/>
        <w:jc w:val="right"/>
      </w:pPr>
      <w:r>
        <w:t>В.И.ИЛЮХИН</w:t>
      </w:r>
    </w:p>
    <w:p w:rsidR="009324FB" w:rsidRDefault="009324FB">
      <w:pPr>
        <w:pStyle w:val="ConsPlusNormal"/>
        <w:jc w:val="both"/>
      </w:pPr>
    </w:p>
    <w:p w:rsidR="009324FB" w:rsidRDefault="009324FB">
      <w:pPr>
        <w:pStyle w:val="ConsPlusNormal"/>
        <w:jc w:val="both"/>
      </w:pPr>
    </w:p>
    <w:p w:rsidR="009324FB" w:rsidRDefault="009324FB">
      <w:pPr>
        <w:pStyle w:val="ConsPlusNormal"/>
        <w:jc w:val="both"/>
      </w:pPr>
    </w:p>
    <w:p w:rsidR="009324FB" w:rsidRDefault="009324FB">
      <w:pPr>
        <w:pStyle w:val="ConsPlusNormal"/>
        <w:jc w:val="both"/>
      </w:pPr>
    </w:p>
    <w:p w:rsidR="009324FB" w:rsidRDefault="009324FB">
      <w:pPr>
        <w:pStyle w:val="ConsPlusNormal"/>
        <w:jc w:val="both"/>
      </w:pPr>
    </w:p>
    <w:p w:rsidR="009324FB" w:rsidRDefault="009324FB">
      <w:pPr>
        <w:pStyle w:val="ConsPlusNormal"/>
        <w:jc w:val="right"/>
        <w:outlineLvl w:val="0"/>
      </w:pPr>
      <w:r>
        <w:t>Приложение</w:t>
      </w:r>
    </w:p>
    <w:p w:rsidR="009324FB" w:rsidRDefault="009324FB">
      <w:pPr>
        <w:pStyle w:val="ConsPlusNormal"/>
        <w:jc w:val="right"/>
      </w:pPr>
      <w:r>
        <w:t>к Распоряжению Правительства</w:t>
      </w:r>
    </w:p>
    <w:p w:rsidR="009324FB" w:rsidRDefault="009324FB">
      <w:pPr>
        <w:pStyle w:val="ConsPlusNormal"/>
        <w:jc w:val="right"/>
      </w:pPr>
      <w:r>
        <w:t>Камчатского края</w:t>
      </w:r>
    </w:p>
    <w:p w:rsidR="009324FB" w:rsidRDefault="009324FB">
      <w:pPr>
        <w:pStyle w:val="ConsPlusNormal"/>
        <w:jc w:val="right"/>
      </w:pPr>
      <w:r>
        <w:t>от 24.06.2011 N 289-РП</w:t>
      </w:r>
    </w:p>
    <w:p w:rsidR="009324FB" w:rsidRDefault="009324FB">
      <w:pPr>
        <w:pStyle w:val="ConsPlusNormal"/>
        <w:jc w:val="both"/>
      </w:pPr>
    </w:p>
    <w:p w:rsidR="009324FB" w:rsidRDefault="009324FB">
      <w:pPr>
        <w:pStyle w:val="ConsPlusTitle"/>
        <w:jc w:val="center"/>
      </w:pPr>
      <w:bookmarkStart w:id="0" w:name="P23"/>
      <w:bookmarkEnd w:id="0"/>
      <w:r>
        <w:t>ПРОГРАММА ГАЗИФИКАЦИИ КАМЧАТСКОГО КРАЯ</w:t>
      </w:r>
    </w:p>
    <w:p w:rsidR="009324FB" w:rsidRDefault="009324FB">
      <w:pPr>
        <w:pStyle w:val="ConsPlusNormal"/>
        <w:jc w:val="both"/>
      </w:pPr>
    </w:p>
    <w:p w:rsidR="009324FB" w:rsidRDefault="009324FB">
      <w:pPr>
        <w:pStyle w:val="ConsPlusNormal"/>
        <w:jc w:val="center"/>
        <w:outlineLvl w:val="1"/>
      </w:pPr>
      <w:r>
        <w:t>Этап 1. Формирование сценариев развития</w:t>
      </w:r>
    </w:p>
    <w:p w:rsidR="009324FB" w:rsidRDefault="009324FB">
      <w:pPr>
        <w:pStyle w:val="ConsPlusNormal"/>
        <w:jc w:val="center"/>
      </w:pPr>
      <w:r>
        <w:t>экономики Камчатского края</w:t>
      </w:r>
    </w:p>
    <w:p w:rsidR="009324FB" w:rsidRDefault="009324FB">
      <w:pPr>
        <w:pStyle w:val="ConsPlusNormal"/>
        <w:jc w:val="both"/>
      </w:pPr>
    </w:p>
    <w:p w:rsidR="009324FB" w:rsidRDefault="009324FB">
      <w:pPr>
        <w:pStyle w:val="ConsPlusNormal"/>
        <w:ind w:firstLine="540"/>
        <w:jc w:val="both"/>
      </w:pPr>
      <w:r>
        <w:t>На первом этапе разработки было выполнено формирование сценариев развития экономики края, который включал: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анализ существующих программ и проектов по развитию экономики края;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разработку сценариев развития экономики, включая развитие отраслей промышленности на основе региональных ресурсов;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разработку институциональных механизмов реализации стратегии развития экономики края.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Для выполнения указанных разделов было проведено дополнительно: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анализ законодательства Российской Федерации и Камчатского края, регулирующего социально-экономическое развитие Камчатского края и даны предложения по его совершенствованию;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анализ национального богатства недр Камчатского края и перспектив его освоения;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оценка экономической эффективности проектов развития экономики Камчатского края.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 xml:space="preserve">Формирование сценариев развития экономики края производилось на основе анализа существующих программ по основным секторам экономики (рыбопромышленного комплекса; </w:t>
      </w:r>
      <w:r>
        <w:lastRenderedPageBreak/>
        <w:t>развития и использования минерально-сырьевой базы Камчатского края; развития судоремонтной отрасли; развития лесного хозяйства, лесной и деревообрабатывающей промышленности; сельского хозяйства; развития туризма; развития инновационной деятельности), анализа законодательства Российской Федерации и Камчатского края, а также анализа минерально-сырьевой базы и возможности использования местных природных ресурсов, в том числе топливных для перспектив развития края.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В представленных материалах дана оценка современному состоянию конкретных секторов экономики, выявлены "узкие" места их развития, определены приоритетные цели и задачи, которые надо реализовать, чтобы достичь стратегических целей, разработаны институциональные механизмы реализации стратегий (программ).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Выполненный ОАО "Газпром промгаз" прогноз развития экономики края на среднесрочную перспективу по основным макроэкономическим параметрам близок к параметрам прогноза производства ВРП края, разработанному Минэкономразвития Камчатского края 1 ноября 2010 г. и отражал наиболее взвешенный подход к оценке текущего состояния экономики края и перспективы его развития на среднесрочный период.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После произведенной корректировки по последним данным статотчетности Камчатского края и данных Минэкономразвития, уточненный прогноз был принят в ОАО "Газпром промгаз" за основу при составлении долгосрочного прогноза на перспективу до 2025 года. Были разработаны два сценария развития экономики: инерционный и энерго-сырьевой варианты, в которых учтены заданные темпы развития экономики, обеспечивающие решение стратегических задач по повышению энергоэффективности экономики края с учетом газификации региона, вовлечения в оборот местных ресурсов, потенциала энергосбережения и реализации комплекса мер по внедрению современных энергосберегающих технологий.</w:t>
      </w:r>
    </w:p>
    <w:p w:rsidR="009324FB" w:rsidRDefault="009324FB">
      <w:pPr>
        <w:pStyle w:val="ConsPlusNormal"/>
        <w:jc w:val="both"/>
      </w:pPr>
    </w:p>
    <w:p w:rsidR="009324FB" w:rsidRDefault="009324FB">
      <w:pPr>
        <w:pStyle w:val="ConsPlusNormal"/>
        <w:jc w:val="center"/>
        <w:outlineLvl w:val="1"/>
      </w:pPr>
      <w:r>
        <w:t>Этап 2. Оценка современного состояния и перспективы</w:t>
      </w:r>
    </w:p>
    <w:p w:rsidR="009324FB" w:rsidRDefault="009324FB">
      <w:pPr>
        <w:pStyle w:val="ConsPlusNormal"/>
        <w:jc w:val="center"/>
      </w:pPr>
      <w:r>
        <w:t>развития отраслей топливно-энергетического</w:t>
      </w:r>
    </w:p>
    <w:p w:rsidR="009324FB" w:rsidRDefault="009324FB">
      <w:pPr>
        <w:pStyle w:val="ConsPlusNormal"/>
        <w:jc w:val="center"/>
      </w:pPr>
      <w:r>
        <w:t>комплекса Камчатского края</w:t>
      </w:r>
    </w:p>
    <w:p w:rsidR="009324FB" w:rsidRDefault="009324FB">
      <w:pPr>
        <w:pStyle w:val="ConsPlusNormal"/>
        <w:jc w:val="both"/>
      </w:pPr>
    </w:p>
    <w:p w:rsidR="009324FB" w:rsidRDefault="009324FB">
      <w:pPr>
        <w:pStyle w:val="ConsPlusNormal"/>
        <w:ind w:firstLine="540"/>
        <w:jc w:val="both"/>
      </w:pPr>
      <w:r>
        <w:t>Оценка состояния ТЭК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Потребление всех видов топлива по краю в 2009 г. составило 1390,7 тыс. т у.т. Все нефтепродукты и 84 % углей - привозные. В общем потреблении доля привозных топливных ресурсов составляет 96 %, что определяет высокие цены на котельно-печное топливо. Цена потребления угля в регионе в 2,5 раза превышала среднюю по стране, для мазута - 1,4 раза, для дизельного топлива - 1,3 раза. Как следствие, средний тариф на электроэнергию в Камчатском крае выше среднего по стране почти в 2 раза, на тепловую энергию - почти в 3 раза.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Газ добывается с 1999 года на Кшукском газоконденсатном месторождении в Соболевского района в объеме 8-11 млн. м3 в год и до 2010 г. поставлялся в с. Соболево и п. Крутогоровский. С сентября 2010 г. газ поставляется на ТЭЦ-2 ОАО "Камчатскэнерго".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Выработка электроэнергии по краю в 2009 году составила 1,68 млрд. кВт*час (тепловые электростанции - 69,7 %; геотермальные электростанции - 27,9 %; гидро- и ветро- и прочие - 2,4 %).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Основу электроэнергетики края составляют генерирующие мощности Центрального энергетического узла (ЦЭУ) - ТЭЦ-1 и ТЭЦ-2 ОАО "Камчатскэнерго" (235 и 160 МВт), Мутновские ГеоЭС (62 МВт), ГЭС Толмачевского каскада (20,4 МВт). Доля установленной мощности и выработки электроэнергии электростанциями ЦЭУ составляют 80 % и 85 %, соответственно, от показателей по краю. ЦЭУ является избыточным по электрической мощности при максимуме нагрузки 252 МВт, резерв составляет около 50 %.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 xml:space="preserve">Более 300 дизельных электростанций обеспечивают электроснабжение в 14 изолированных </w:t>
      </w:r>
      <w:r>
        <w:lastRenderedPageBreak/>
        <w:t>энергоузлах, удаленных от краевого центра.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Теплоснабжение потребителей края осуществляется от ТЭЦ ОАО "Камчатскэнерго" и более 300 котельных с общей установленной мощностью 1582,1 Гкал/ч и годовым отпуском в 2009 году 3297,3 тыс. Гкал (без учета отдельных ведомственных котельных). Теплоснабжение сел Эссо, Анавгай, поселка "Горный ключ" Быстринского района и ряда других осуществляется термальной водой.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Муниципальные системы теплоснабжения имеют низкую эффективность.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Складывающийся уровень тарифов сдерживает развитие экономики края, крайне обременителен для населения, социальной сферы и бюджетов. Тарифы для всех групп потребителей в крае остаются самыми высокими в Российской Федерации, при этом из-за низкой платежеспособности для обеспечения устойчивого энергоснабжения края необходимы бюджетные субсидии для снижения уровней тарифов на электрическую и тепловую энергию.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Развитие ТЭК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В качестве базового варианта для прогнозирования энергопотребления на перспективу принят умеренно-оптимистический сценарий.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Суммарное потребление электрической энергии в 2025 году прогнозируется в объеме 1920,2 млн. кВт.ч по консервативному сценарию и 2110,8 по умеренному сценарию развития.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В итоге среднегодовые темпы роста общего потребления электроэнергии в Камчатском крае в период 2009-2025 гг. (с учетом потерь электроэнергии в сетях общего пользования) составят 0,9 % и 1,6 % соответственно для консервативного и умеренно-оптимистического сценариев развития.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Суммарная потребность в тепле (с учетом нужд коммунально-бытового хозяйства) по Камчатскому краю по умеренно оптимистичному сценарию вырастет с 3300 тыс. Гкал в 2009 году до 4040 тыс. Гкал в 2025 году.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Перспективный топливно-энергетический баланс предусматривает использование местных природного газа и угля, а также возобновляемых источников энергии (гидроэнергия, геотермальная и ветровая энергии). Установленная мощность электростанций в 2025 г. составит 648,7 МВт (с учетом выбытия), доля выработки электроэнергии на возобновляемых ресурсах достигнет 34,9 %, потребление топочного мазута сократится с 732,1 тыс. т у.т. до 37,9 тыс. т у.т. (или в 19,3 раза), а доля природного достигнет 75,9 % (порядка 723,4 млн. м3 в год).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Энергоемкость ВРП Камчатского края за период 2009-2025 гг. снижается с 21,5 кг у.т./тыс. руб. до 13,6 кг у.т./тыс. руб. (снизится на 36,6 % к 2009 г.).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Строительство ПАТЭС не целесообразно, т.к.: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а) за межремонтный период (10-лет) ПАТЭС приводит к росту дополнительных затрат для потребителей электрической, тепловой энергии и газа на 36559,8 млн.руб. (без учета инфляции, в ценах 2010 г.), что превышает стоимость строительства ПАТЭС в 3,5 раза. Дополнительные затраты должны быть возмещены либо потребителями края через тарифы на электрическую и тепловую энергию, либо субвенциями из федерального бюджета;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б) возможность работы ПАТЭС в режиме суточного регулирования нагрузки с загрузкой от 2-3 МВт до 50-55 МВт и выработкой тепловой энергии проблематична.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Угольные мини-ТЭЦ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 xml:space="preserve">Представляется целесообразным принятие следующих решений по строительству угольных </w:t>
      </w:r>
      <w:r>
        <w:lastRenderedPageBreak/>
        <w:t>мини-ТЭЦ: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по мини-ТЭЦ "Палана" завершить строительство с последующим проведением пуско-наладочных работ;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по мини-ТЭЦ "Усть-Хайрюзово" и "Пахачи" - строительство не начинать;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по мини-ТЭЦ "Оссора" - не приступать к реализации проекта до проработки альтернативных вариантов энергоснабжения;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по мини-ТЭЦ "Манилы", "Тиличики" и "Тигиль" - приостановить строительство.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Использование торфа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Возможность освоения месторождений торфа Западно-Камчатской низменности ограничивается отсутствием дорог. Учитывая высокую зольность и примеси вулканического пепла (30-40 % на абсолютно сухое топливо), использование торфа целесообразно на нужды местных населенных пунктов.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Эффективные направления использования газа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Развитие систем газификации и газоснабжения края в ближайшие годы является первоочередной задачей освоения местных топливно-энергетических ресурсов.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В последующие годы необходимо стремиться к более рациональному использованию ТЭР, особенно - природного газа.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Анализ приоритетных направлений технической политики в электроэнергетике и теплоснабжении свидетельствует о безусловном прогрессе в области использования ГТУ и ПГУ для производства электроэнергии и тепла: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Современные парогазовые блоки имеют КПД производства электроэнергии более 55 %.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КПД современных газовых котельных блочно-модульного типа или заводского изготовления достигает 90-92 %.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ДЭС на базе когенерационных установок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Для модернизации электрогенерирующего оборудования в изолированных и труднодоступных районах предлагается использовать современные дизельные электростанции (ДЭС) мощностью от 100 кВт до 1200 кВт на базе когенерационных установок, обеспечивающего совместную выработку электрической и тепловой энергии.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Тепловые насосы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В настоящее время создаются благоприятные условия для массового внедрения тепловых насосов в гражданское и, в первую очередь, в индивидуальное строительство Камчатского края.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Ветроэнергетические ресурсы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Ветродизельный комплекс позволяет экономить в среднем 40-70 % дизельного топлива.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Энергосбережение в коммунально-бытовом секторе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Основными составляющими потенциала энергосбережения в коммунально-бытовом секторе являются экономия тепла и топлива, получаемые путем: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 xml:space="preserve">- оснащения систем теплоснабжения приборами автоматического регулирования и </w:t>
      </w:r>
      <w:r>
        <w:lastRenderedPageBreak/>
        <w:t>измерений;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улучшения изоляции существующих зданий и снижении их теплопотерь;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исключения сверхнормативных потерь в тепловых сетях;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модернизации низко экономичных котельных.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Основные направления использования газа на объектах теплоэнергетики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Использование природного газа для топливоснабжения ТЭЦ-1 и ТЭЦ-2 г. Петропавловска-Камчатского, а также районных промышленных и ведомственных котельных и дизельных электростанций в населенных пунктах, расположенных вдоль трассы газопровода: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Перевод ТЭЦ-1 и ТЭЦ-2 с мазута на природный газ потребует 420 млн. м газа к 2015 г.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Перевод мазутных и угольных котельных в г. Петропавловске-Камчатском требует порядка 113,7 млн. м3 газа.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Перспективный объем потребления газа Вилючинским ГО составляет 40,5 млн. м. В качестве перспективного варианта повышения эффективности использования газа в г. Вилючинске можно рассматривать строительство мини-ТЭЦ на базе крупных котельных.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Перспективная потребность г. Елизово в природном газе составляет 29,1 млн. м3, а Елизовского района - 30,4 млн. м3.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Объединение тепловых сетей нескольких мелких котельных с их заменой на один более крупный теплоисточник повысит надежность систем теплоснабжения за счет применения современного котельного оборудования с высоким КПД, снижения расхода топлива и уменьшению вредных выбросов в атмосферу.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Перевод котельных на газ и оценка экономии затрат в тарифах на тепловую энергию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При переводе на газ 111 котельных, расположенных вдоль трассы магистрального газопровода, за счет повышения КПД обеспечивается снижение суммарного расхода топлива на 62 281,4 тыс. т у.т. или на 20 %. В общей экономии условного топлива доля котельных на угле составляет 59 %, на мазуте - 41 %, на дизельном топливе - менее 0,1 %.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 xml:space="preserve">При переводе котельных на газ снижение стоимости топлива зависит от соотношения уровня цены </w:t>
      </w:r>
      <w:proofErr w:type="gramStart"/>
      <w:r>
        <w:t>на газа</w:t>
      </w:r>
      <w:proofErr w:type="gramEnd"/>
      <w:r>
        <w:t>, а суммарных затрат в тарифе еще и от сокращения условно-постоянных расходов при реконструкции угольных котельных: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при цене газа 10940 руб./тыс. м оценка снижения стоимости топлива по 111 котельным составит 358 млн. руб. или 13 %, а затрат в тарифе - 558 млн. руб. или на 21 %. Такая экономия может рассматриваться в качестве источника возврата инвестиций на реконструкцию котельных;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при расчетной цене газа 4500 руб./тыс. м3 снижение суммарных затрат на топливо составит 1745 млн. руб. или 64 %, а затрат в тарифе - 1945 млн. руб. 72 %, которые могут рассматриваться как источник возврата инвестиций.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Сопоставление эффективности перевода котельных на газ и оценка сроков окупаемости инвестиций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По котельным, расположенным в населенных пунктах вдоль трассы магистрального газопровода выполнены сопоставления экономии затрат в тарифах на тепловую энергию по отношению к инвестициям на подготовку газовых котельных (стоимость БМК, внутригородских и поселковых сетей) и сроков окупаемости для 2-х уровней цен на газ: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lastRenderedPageBreak/>
        <w:t>- при цене газа 10940 руб./тыс. м3 наименьший срок окупаемости в г. Вилючинске и Усть-Большерецком районе - от 7 до 8 лет; по Елизовскому району (без г. Елизово) - 11 лет; по г. Петропавловск-Камчатский и г. Елизово - до 24 лет;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при расчетной цене газа 4500 руб./тыс. срок окупаемости в г. Вилючинске и Усть-Большерецком районе сокращаются до 2,2 и 4 лет; по Елизовскому району (без г. Елизово) - 3,4 лет; по г. Петропавловск-Камчатский и г. Елизово - до 6 лет.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Реализация энергетической стратегии Камчатского края обеспечит: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повышение уровня энергетической безопасности края, надежное топливо- и энергоснабжение потребителей;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сокращение объемов поставок дальнепривозного топлива;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повышение энергетической эффективности экономики края за счет рационального использования топливно-энергетических ресурсов как в отраслях ТЭК, так и у потребителей;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развитие газификации края в направлении центральных районов;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рациональный топливно-энергетический баланс за счет использования местных энергоресурсов (природного газа и угля) и возобновляемых источников энергии (гидроэнергия, геотермальная и ветровая энергии) в тепловом хозяйстве и в электроэнергетике, а также природного газа в качестве моторного топлива;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- формирование отраслевых и специализированных программ по развитию ТЭК и энергосбережению.</w:t>
      </w:r>
    </w:p>
    <w:p w:rsidR="009324FB" w:rsidRDefault="009324FB">
      <w:pPr>
        <w:pStyle w:val="ConsPlusNormal"/>
        <w:jc w:val="both"/>
      </w:pPr>
    </w:p>
    <w:p w:rsidR="009324FB" w:rsidRDefault="009324FB">
      <w:pPr>
        <w:pStyle w:val="ConsPlusNormal"/>
        <w:jc w:val="center"/>
        <w:outlineLvl w:val="1"/>
      </w:pPr>
      <w:r>
        <w:t>Этап 3. Перспективы развития системы</w:t>
      </w:r>
    </w:p>
    <w:p w:rsidR="009324FB" w:rsidRDefault="009324FB">
      <w:pPr>
        <w:pStyle w:val="ConsPlusNormal"/>
        <w:jc w:val="center"/>
      </w:pPr>
      <w:r>
        <w:t>газоснабжения и газификации Камчатского края</w:t>
      </w:r>
    </w:p>
    <w:p w:rsidR="009324FB" w:rsidRDefault="009324FB">
      <w:pPr>
        <w:pStyle w:val="ConsPlusNormal"/>
        <w:jc w:val="both"/>
      </w:pPr>
    </w:p>
    <w:p w:rsidR="009324FB" w:rsidRDefault="009324FB">
      <w:pPr>
        <w:pStyle w:val="ConsPlusNormal"/>
        <w:ind w:firstLine="540"/>
        <w:jc w:val="both"/>
      </w:pPr>
      <w:r>
        <w:t>В настоящее время природный газ потребителям Камчатского края поставляется по магистральным газопроводам от Кшукского газоконденсатного месторождения до ГРС Крутогорово и ГРС Соболево (протяженность газопроводов составляет 95 км).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Газифицированы 8 котельных, 2 ДЭС и 61 домовладение в с. Соболево и пос. Крутогоровский Соболевского района. Протяженность межпоселковых газопроводов для газификации потребителей Камчатского края составляет 8,6 км.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Сжиженный углеводородный газ (СУГ) в Камчатском крае не используется.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В рамках реализации проекта "Газоснабжение Камчатской области. Первая очередь - газоснабжение г. Петропавловск-Камчатский" ОАО "Газпром" осуществляет обустройство Кшукского и Нижнеквакчикского месторождений.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Учитывая потребность в газе на собственные нужды промысла (21,5 млн. м3 в год) и собственные нужды магистрального газопровода (5,1 млн. м3 в год) сформирована динамика добычных возможностей Камчатского центра газодобычи для поставок газа потребителям края на период до 2015 года:</w:t>
      </w:r>
    </w:p>
    <w:p w:rsidR="009324FB" w:rsidRDefault="009324F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</w:tblGrid>
      <w:tr w:rsidR="009324FB">
        <w:trPr>
          <w:trHeight w:val="240"/>
        </w:trPr>
        <w:tc>
          <w:tcPr>
            <w:tcW w:w="1512" w:type="dxa"/>
          </w:tcPr>
          <w:p w:rsidR="009324FB" w:rsidRDefault="009324FB">
            <w:pPr>
              <w:pStyle w:val="ConsPlusNonformat"/>
              <w:jc w:val="both"/>
            </w:pPr>
            <w:r>
              <w:rPr>
                <w:sz w:val="18"/>
              </w:rPr>
              <w:t xml:space="preserve">  2010 год  </w:t>
            </w:r>
          </w:p>
        </w:tc>
        <w:tc>
          <w:tcPr>
            <w:tcW w:w="1512" w:type="dxa"/>
          </w:tcPr>
          <w:p w:rsidR="009324FB" w:rsidRDefault="009324FB">
            <w:pPr>
              <w:pStyle w:val="ConsPlusNonformat"/>
              <w:jc w:val="both"/>
            </w:pPr>
            <w:r>
              <w:rPr>
                <w:sz w:val="18"/>
              </w:rPr>
              <w:t xml:space="preserve">  2011 год  </w:t>
            </w:r>
          </w:p>
        </w:tc>
        <w:tc>
          <w:tcPr>
            <w:tcW w:w="1512" w:type="dxa"/>
          </w:tcPr>
          <w:p w:rsidR="009324FB" w:rsidRDefault="009324FB">
            <w:pPr>
              <w:pStyle w:val="ConsPlusNonformat"/>
              <w:jc w:val="both"/>
            </w:pPr>
            <w:r>
              <w:rPr>
                <w:sz w:val="18"/>
              </w:rPr>
              <w:t xml:space="preserve">  2012 год  </w:t>
            </w:r>
          </w:p>
        </w:tc>
        <w:tc>
          <w:tcPr>
            <w:tcW w:w="1512" w:type="dxa"/>
          </w:tcPr>
          <w:p w:rsidR="009324FB" w:rsidRDefault="009324FB">
            <w:pPr>
              <w:pStyle w:val="ConsPlusNonformat"/>
              <w:jc w:val="both"/>
            </w:pPr>
            <w:r>
              <w:rPr>
                <w:sz w:val="18"/>
              </w:rPr>
              <w:t xml:space="preserve">  2013 год  </w:t>
            </w:r>
          </w:p>
        </w:tc>
        <w:tc>
          <w:tcPr>
            <w:tcW w:w="1512" w:type="dxa"/>
          </w:tcPr>
          <w:p w:rsidR="009324FB" w:rsidRDefault="009324FB">
            <w:pPr>
              <w:pStyle w:val="ConsPlusNonformat"/>
              <w:jc w:val="both"/>
            </w:pPr>
            <w:r>
              <w:rPr>
                <w:sz w:val="18"/>
              </w:rPr>
              <w:t xml:space="preserve">  2014 год  </w:t>
            </w:r>
          </w:p>
        </w:tc>
        <w:tc>
          <w:tcPr>
            <w:tcW w:w="1512" w:type="dxa"/>
          </w:tcPr>
          <w:p w:rsidR="009324FB" w:rsidRDefault="009324FB">
            <w:pPr>
              <w:pStyle w:val="ConsPlusNonformat"/>
              <w:jc w:val="both"/>
            </w:pPr>
            <w:r>
              <w:rPr>
                <w:sz w:val="18"/>
              </w:rPr>
              <w:t xml:space="preserve">  2015 год  </w:t>
            </w:r>
          </w:p>
        </w:tc>
      </w:tr>
      <w:tr w:rsidR="009324FB">
        <w:trPr>
          <w:trHeight w:val="240"/>
        </w:trPr>
        <w:tc>
          <w:tcPr>
            <w:tcW w:w="1512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rPr>
                <w:sz w:val="18"/>
              </w:rPr>
              <w:t xml:space="preserve">    68,4    </w:t>
            </w:r>
          </w:p>
        </w:tc>
        <w:tc>
          <w:tcPr>
            <w:tcW w:w="1512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rPr>
                <w:sz w:val="18"/>
              </w:rPr>
              <w:t xml:space="preserve">   348,4    </w:t>
            </w:r>
          </w:p>
        </w:tc>
        <w:tc>
          <w:tcPr>
            <w:tcW w:w="1512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rPr>
                <w:sz w:val="18"/>
              </w:rPr>
              <w:t xml:space="preserve">   548,4    </w:t>
            </w:r>
          </w:p>
        </w:tc>
        <w:tc>
          <w:tcPr>
            <w:tcW w:w="1512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rPr>
                <w:sz w:val="18"/>
              </w:rPr>
              <w:t xml:space="preserve">   723,4    </w:t>
            </w:r>
          </w:p>
        </w:tc>
        <w:tc>
          <w:tcPr>
            <w:tcW w:w="1512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rPr>
                <w:sz w:val="18"/>
              </w:rPr>
              <w:t xml:space="preserve">   723,4    </w:t>
            </w:r>
          </w:p>
        </w:tc>
        <w:tc>
          <w:tcPr>
            <w:tcW w:w="1512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rPr>
                <w:sz w:val="18"/>
              </w:rPr>
              <w:t xml:space="preserve">   723,4    </w:t>
            </w:r>
          </w:p>
        </w:tc>
      </w:tr>
    </w:tbl>
    <w:p w:rsidR="009324FB" w:rsidRDefault="009324FB">
      <w:pPr>
        <w:pStyle w:val="ConsPlusNormal"/>
        <w:jc w:val="both"/>
      </w:pPr>
    </w:p>
    <w:p w:rsidR="009324FB" w:rsidRDefault="009324FB">
      <w:pPr>
        <w:pStyle w:val="ConsPlusNormal"/>
        <w:ind w:firstLine="540"/>
        <w:jc w:val="both"/>
      </w:pPr>
      <w:r>
        <w:t xml:space="preserve">Завершено строительство магистрального газопровода от Нижне-Квакчикского ГКМ до АГРС-1 и АГРС-2 г. Петропавловск-Камчатский (протяженность 392 км). По Программе газификации ОАО </w:t>
      </w:r>
      <w:r>
        <w:lastRenderedPageBreak/>
        <w:t>"Газпром" завершается строительство межпоселкового газопровода до ТЭЦ-2 г. Петропавловск-Камчатский протяженностью 30,9 км.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Развитие газификации сетевым природным газом рассмотрено в районах, прилегающих к трассе прохождения магистрального газопровода от Нижне-Квакчикского ГКМ до г. Петропавловск-Камчатский - Елизовском, Соболевском и Усть-Большерецком, а также в Петропавловск-Камчатском и Вилючинском городских округах.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Для газоснабжения рассматриваемых районов предусмотрено строительство 4 газопроводов-отводов (общая протяженность 2 км) и ГРС.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Перспективные схемы газификации определены в соответствии с рекомендациями районных администраций по максимальному охвату газоснабжением населенных пунктов районов, на основе оптимального выбора трасс газопроводов. Предусмотрено строительство 274,1 км межпоселковых газопроводов.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Перспективная схема газоснабжения и газификации Камчатского края предусматривает газификацию 29 населенных пунктов (включая газифицированные с. Соболево и пос. Крутогоровский).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Для газификации квартир и домовладений, котельных необходимо строительство 487,6 км внутрипоселковых (городских) газопроводов.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Детальная трассировка и протяженность городских и внутрипоселковых газопроводов определяется на стадии рабочего проектирования.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Перспективный объем газопотребления к 2015 году составит 723,4 млрд. м3.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Основные перспективные показатели газификации Камчатского края представлены в виде таблицы:</w:t>
      </w:r>
    </w:p>
    <w:p w:rsidR="009324FB" w:rsidRDefault="009324F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1680"/>
        <w:gridCol w:w="1800"/>
        <w:gridCol w:w="1800"/>
      </w:tblGrid>
      <w:tr w:rsidR="009324FB">
        <w:trPr>
          <w:trHeight w:val="240"/>
        </w:trPr>
        <w:tc>
          <w:tcPr>
            <w:tcW w:w="3600" w:type="dxa"/>
          </w:tcPr>
          <w:p w:rsidR="009324FB" w:rsidRDefault="009324FB">
            <w:pPr>
              <w:pStyle w:val="ConsPlusNonformat"/>
              <w:jc w:val="both"/>
            </w:pPr>
            <w:r>
              <w:t xml:space="preserve">  Наименование показателя   </w:t>
            </w:r>
          </w:p>
        </w:tc>
        <w:tc>
          <w:tcPr>
            <w:tcW w:w="1680" w:type="dxa"/>
          </w:tcPr>
          <w:p w:rsidR="009324FB" w:rsidRDefault="009324FB">
            <w:pPr>
              <w:pStyle w:val="ConsPlusNonformat"/>
              <w:jc w:val="both"/>
            </w:pPr>
            <w:r>
              <w:t>Существующие</w:t>
            </w:r>
          </w:p>
          <w:p w:rsidR="009324FB" w:rsidRDefault="009324FB">
            <w:pPr>
              <w:pStyle w:val="ConsPlusNonformat"/>
              <w:jc w:val="both"/>
            </w:pPr>
            <w:r>
              <w:t xml:space="preserve"> показатели </w:t>
            </w:r>
          </w:p>
        </w:tc>
        <w:tc>
          <w:tcPr>
            <w:tcW w:w="1800" w:type="dxa"/>
          </w:tcPr>
          <w:p w:rsidR="009324FB" w:rsidRDefault="009324FB">
            <w:pPr>
              <w:pStyle w:val="ConsPlusNonformat"/>
              <w:jc w:val="both"/>
            </w:pPr>
            <w:r>
              <w:t>Перспективные</w:t>
            </w:r>
          </w:p>
          <w:p w:rsidR="009324FB" w:rsidRDefault="009324FB">
            <w:pPr>
              <w:pStyle w:val="ConsPlusNonformat"/>
              <w:jc w:val="both"/>
            </w:pPr>
            <w:r>
              <w:t xml:space="preserve"> показатели  </w:t>
            </w:r>
          </w:p>
          <w:p w:rsidR="009324FB" w:rsidRDefault="009324FB">
            <w:pPr>
              <w:pStyle w:val="ConsPlusNonformat"/>
              <w:jc w:val="both"/>
            </w:pPr>
            <w:r>
              <w:t xml:space="preserve">  к 2015 г.  </w:t>
            </w:r>
          </w:p>
        </w:tc>
        <w:tc>
          <w:tcPr>
            <w:tcW w:w="1800" w:type="dxa"/>
          </w:tcPr>
          <w:p w:rsidR="009324FB" w:rsidRDefault="009324FB">
            <w:pPr>
              <w:pStyle w:val="ConsPlusNonformat"/>
              <w:jc w:val="both"/>
            </w:pPr>
            <w:r>
              <w:t xml:space="preserve">   Прирост   </w:t>
            </w:r>
          </w:p>
        </w:tc>
      </w:tr>
      <w:tr w:rsidR="009324FB">
        <w:trPr>
          <w:trHeight w:val="240"/>
        </w:trPr>
        <w:tc>
          <w:tcPr>
            <w:tcW w:w="36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Протяженность магистральных </w:t>
            </w:r>
          </w:p>
          <w:p w:rsidR="009324FB" w:rsidRDefault="009324FB">
            <w:pPr>
              <w:pStyle w:val="ConsPlusNonformat"/>
              <w:jc w:val="both"/>
            </w:pPr>
            <w:r>
              <w:t xml:space="preserve">газопроводов и              </w:t>
            </w:r>
          </w:p>
          <w:p w:rsidR="009324FB" w:rsidRDefault="009324FB">
            <w:pPr>
              <w:pStyle w:val="ConsPlusNonformat"/>
              <w:jc w:val="both"/>
            </w:pPr>
            <w:r>
              <w:t xml:space="preserve">газопроводов-отводов, км    </w:t>
            </w:r>
          </w:p>
        </w:tc>
        <w:tc>
          <w:tcPr>
            <w:tcW w:w="168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487,0    </w:t>
            </w:r>
          </w:p>
        </w:tc>
        <w:tc>
          <w:tcPr>
            <w:tcW w:w="18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489,0    </w:t>
            </w:r>
          </w:p>
        </w:tc>
        <w:tc>
          <w:tcPr>
            <w:tcW w:w="18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 2,0     </w:t>
            </w:r>
          </w:p>
        </w:tc>
      </w:tr>
      <w:tr w:rsidR="009324FB">
        <w:trPr>
          <w:trHeight w:val="240"/>
        </w:trPr>
        <w:tc>
          <w:tcPr>
            <w:tcW w:w="36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Количество ГРС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 4      </w:t>
            </w:r>
          </w:p>
        </w:tc>
        <w:tc>
          <w:tcPr>
            <w:tcW w:w="18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  8      </w:t>
            </w:r>
          </w:p>
        </w:tc>
        <w:tc>
          <w:tcPr>
            <w:tcW w:w="18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  4      </w:t>
            </w:r>
          </w:p>
        </w:tc>
      </w:tr>
      <w:tr w:rsidR="009324FB">
        <w:trPr>
          <w:trHeight w:val="240"/>
        </w:trPr>
        <w:tc>
          <w:tcPr>
            <w:tcW w:w="36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Протяженность межпоселковых </w:t>
            </w:r>
          </w:p>
          <w:p w:rsidR="009324FB" w:rsidRDefault="009324FB">
            <w:pPr>
              <w:pStyle w:val="ConsPlusNonformat"/>
              <w:jc w:val="both"/>
            </w:pPr>
            <w:r>
              <w:t xml:space="preserve">газопроводов, тыс. км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8,6     </w:t>
            </w:r>
          </w:p>
        </w:tc>
        <w:tc>
          <w:tcPr>
            <w:tcW w:w="18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274,1    </w:t>
            </w:r>
          </w:p>
        </w:tc>
        <w:tc>
          <w:tcPr>
            <w:tcW w:w="18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265,5    </w:t>
            </w:r>
          </w:p>
        </w:tc>
      </w:tr>
      <w:tr w:rsidR="009324FB">
        <w:trPr>
          <w:trHeight w:val="240"/>
        </w:trPr>
        <w:tc>
          <w:tcPr>
            <w:tcW w:w="36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Количество газифицированных </w:t>
            </w:r>
          </w:p>
          <w:p w:rsidR="009324FB" w:rsidRDefault="009324FB">
            <w:pPr>
              <w:pStyle w:val="ConsPlusNonformat"/>
              <w:jc w:val="both"/>
            </w:pPr>
            <w:r>
              <w:t xml:space="preserve">населенных пунктов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 2      </w:t>
            </w:r>
          </w:p>
        </w:tc>
        <w:tc>
          <w:tcPr>
            <w:tcW w:w="18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 29      </w:t>
            </w:r>
          </w:p>
        </w:tc>
        <w:tc>
          <w:tcPr>
            <w:tcW w:w="18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 27      </w:t>
            </w:r>
          </w:p>
        </w:tc>
      </w:tr>
      <w:tr w:rsidR="009324FB">
        <w:trPr>
          <w:trHeight w:val="240"/>
        </w:trPr>
        <w:tc>
          <w:tcPr>
            <w:tcW w:w="36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>Объем потребления природного</w:t>
            </w:r>
          </w:p>
          <w:p w:rsidR="009324FB" w:rsidRDefault="009324FB">
            <w:pPr>
              <w:pStyle w:val="ConsPlusNonformat"/>
              <w:jc w:val="both"/>
            </w:pPr>
            <w:r>
              <w:t xml:space="preserve">газа, млрд. м3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9,0     </w:t>
            </w:r>
          </w:p>
        </w:tc>
        <w:tc>
          <w:tcPr>
            <w:tcW w:w="18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723,4    </w:t>
            </w:r>
          </w:p>
        </w:tc>
        <w:tc>
          <w:tcPr>
            <w:tcW w:w="18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714,4    </w:t>
            </w:r>
          </w:p>
        </w:tc>
      </w:tr>
    </w:tbl>
    <w:p w:rsidR="009324FB" w:rsidRDefault="009324FB">
      <w:pPr>
        <w:pStyle w:val="ConsPlusNormal"/>
        <w:jc w:val="both"/>
      </w:pPr>
    </w:p>
    <w:p w:rsidR="009324FB" w:rsidRDefault="009324FB">
      <w:pPr>
        <w:pStyle w:val="ConsPlusNormal"/>
        <w:jc w:val="center"/>
        <w:outlineLvl w:val="1"/>
      </w:pPr>
      <w:r>
        <w:t>Этап 4. Расчет потребности в капитальных</w:t>
      </w:r>
    </w:p>
    <w:p w:rsidR="009324FB" w:rsidRDefault="009324FB">
      <w:pPr>
        <w:pStyle w:val="ConsPlusNormal"/>
        <w:jc w:val="center"/>
      </w:pPr>
      <w:r>
        <w:t>вложениях для газификации Камчатского края</w:t>
      </w:r>
    </w:p>
    <w:p w:rsidR="009324FB" w:rsidRDefault="009324FB">
      <w:pPr>
        <w:pStyle w:val="ConsPlusNormal"/>
        <w:jc w:val="both"/>
      </w:pPr>
    </w:p>
    <w:p w:rsidR="009324FB" w:rsidRDefault="009324FB">
      <w:pPr>
        <w:pStyle w:val="ConsPlusNormal"/>
        <w:ind w:firstLine="540"/>
        <w:jc w:val="both"/>
      </w:pPr>
      <w:r>
        <w:t>Основные исходные данные для оценки затрат (тип населенного пункта, количество домовладений, количество котельных подлежащих газификации) приняты согласно разработанной ОАО "Газпром промгаз" Генеральной схемы газоснабжения и газификации Камчатского края. Протяженность внутрипоселковых сетей, необходимых для обеспечения подачи газа потребителям, рассчитана на основе данных о количестве домовладений, этажности застройки, типе прокладки внутрипоселковых сетей, планировочных данных населенных пунктов.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lastRenderedPageBreak/>
        <w:t>Для оценки капитальных вложений на газификацию потребителей к приему газа использовались укрупненные показатели стоимости строительства 1 км межпоселковых и внутрипоселковых газопроводов, перевода на газ одного домовладения, перевода на газ единичной котельной. Принятые для расчетов укрупненные показатели основывались на проведенном ОАО "Газпром промгаз" анализе региональных данных по стоимости строительно-монтажных работ, материалов, газового оборудования. При расчете стоимости строительства газопроводов учитывается диаметр, протяженность и материал трубопровода, территория прокладки, тип населенного пункта. При расчете стоимости газификации одного домовладения учитывается тип домовладения, этажность застройки, наличие централизованной системы отопления и горячего водоснабжения. При расчете перевода на газ котельной учитывалась ее мощность, установленное оборудование и используемое топливо.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Суммарная потребность в капитальных вложениях для газификации Камчатского края составит 18,5 млрд. руб.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Объем капитальных вложений по мероприятиям представлен в таблице:</w:t>
      </w:r>
    </w:p>
    <w:p w:rsidR="009324FB" w:rsidRDefault="009324F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40"/>
        <w:gridCol w:w="2400"/>
      </w:tblGrid>
      <w:tr w:rsidR="009324FB">
        <w:trPr>
          <w:trHeight w:val="240"/>
        </w:trPr>
        <w:tc>
          <w:tcPr>
            <w:tcW w:w="4440" w:type="dxa"/>
          </w:tcPr>
          <w:p w:rsidR="009324FB" w:rsidRDefault="009324FB">
            <w:pPr>
              <w:pStyle w:val="ConsPlusNonformat"/>
              <w:jc w:val="both"/>
            </w:pPr>
            <w:r>
              <w:t>Мероприятия по реализации Программы</w:t>
            </w:r>
          </w:p>
          <w:p w:rsidR="009324FB" w:rsidRDefault="009324FB">
            <w:pPr>
              <w:pStyle w:val="ConsPlusNonformat"/>
              <w:jc w:val="both"/>
            </w:pPr>
            <w:r>
              <w:t xml:space="preserve">            газификации            </w:t>
            </w:r>
          </w:p>
        </w:tc>
        <w:tc>
          <w:tcPr>
            <w:tcW w:w="2400" w:type="dxa"/>
          </w:tcPr>
          <w:p w:rsidR="009324FB" w:rsidRDefault="009324FB">
            <w:pPr>
              <w:pStyle w:val="ConsPlusNonformat"/>
              <w:jc w:val="both"/>
            </w:pPr>
            <w:r>
              <w:t xml:space="preserve">Объем капитальных </w:t>
            </w:r>
          </w:p>
          <w:p w:rsidR="009324FB" w:rsidRDefault="009324FB">
            <w:pPr>
              <w:pStyle w:val="ConsPlusNonformat"/>
              <w:jc w:val="both"/>
            </w:pPr>
            <w:r>
              <w:t xml:space="preserve">  вложений, млн.  </w:t>
            </w:r>
          </w:p>
          <w:p w:rsidR="009324FB" w:rsidRDefault="009324FB">
            <w:pPr>
              <w:pStyle w:val="ConsPlusNonformat"/>
              <w:jc w:val="both"/>
            </w:pPr>
            <w:r>
              <w:t xml:space="preserve">       руб.       </w:t>
            </w:r>
          </w:p>
        </w:tc>
      </w:tr>
      <w:tr w:rsidR="009324FB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Строительство газопроводов-отводов </w:t>
            </w:r>
          </w:p>
          <w:p w:rsidR="009324FB" w:rsidRDefault="009324FB">
            <w:pPr>
              <w:pStyle w:val="ConsPlusNonformat"/>
              <w:jc w:val="both"/>
            </w:pPr>
            <w:r>
              <w:t xml:space="preserve">и ГРС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   470        </w:t>
            </w:r>
          </w:p>
        </w:tc>
      </w:tr>
      <w:tr w:rsidR="009324FB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Строительство межпоселковых        </w:t>
            </w:r>
          </w:p>
          <w:p w:rsidR="009324FB" w:rsidRDefault="009324FB">
            <w:pPr>
              <w:pStyle w:val="ConsPlusNonformat"/>
              <w:jc w:val="both"/>
            </w:pPr>
            <w:r>
              <w:t xml:space="preserve">газопроводов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  4 560       </w:t>
            </w:r>
          </w:p>
        </w:tc>
      </w:tr>
      <w:tr w:rsidR="009324FB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Строительство АГНКС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   150        </w:t>
            </w:r>
          </w:p>
        </w:tc>
      </w:tr>
      <w:tr w:rsidR="009324FB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Строительство городских и внутри   </w:t>
            </w:r>
          </w:p>
          <w:p w:rsidR="009324FB" w:rsidRDefault="009324FB">
            <w:pPr>
              <w:pStyle w:val="ConsPlusNonformat"/>
              <w:jc w:val="both"/>
            </w:pPr>
            <w:r>
              <w:t xml:space="preserve">поселковых газопроводов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  4 970       </w:t>
            </w:r>
          </w:p>
        </w:tc>
      </w:tr>
      <w:tr w:rsidR="009324FB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Перевод на природный газ объектов  </w:t>
            </w:r>
          </w:p>
          <w:p w:rsidR="009324FB" w:rsidRDefault="009324FB">
            <w:pPr>
              <w:pStyle w:val="ConsPlusNonformat"/>
              <w:jc w:val="both"/>
            </w:pPr>
            <w:r>
              <w:t>тепловой и электрической генерации,</w:t>
            </w:r>
          </w:p>
          <w:p w:rsidR="009324FB" w:rsidRDefault="009324FB">
            <w:pPr>
              <w:pStyle w:val="ConsPlusNonformat"/>
              <w:jc w:val="both"/>
            </w:pPr>
            <w:r>
              <w:t xml:space="preserve">в том </w:t>
            </w:r>
            <w:proofErr w:type="gramStart"/>
            <w:r>
              <w:t xml:space="preserve">числе:   </w:t>
            </w:r>
            <w:proofErr w:type="gramEnd"/>
            <w:r>
              <w:t xml:space="preserve">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  7 260       </w:t>
            </w:r>
          </w:p>
        </w:tc>
      </w:tr>
      <w:tr w:rsidR="009324FB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- объектов тепловой генерации      </w:t>
            </w:r>
          </w:p>
        </w:tc>
        <w:tc>
          <w:tcPr>
            <w:tcW w:w="24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  5 720       </w:t>
            </w:r>
          </w:p>
        </w:tc>
      </w:tr>
      <w:tr w:rsidR="009324FB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- объектов электрической генерации </w:t>
            </w:r>
          </w:p>
        </w:tc>
        <w:tc>
          <w:tcPr>
            <w:tcW w:w="24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   924        </w:t>
            </w:r>
          </w:p>
        </w:tc>
      </w:tr>
      <w:tr w:rsidR="009324FB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- объектов тепловой генерации      </w:t>
            </w:r>
          </w:p>
          <w:p w:rsidR="009324FB" w:rsidRDefault="009324FB">
            <w:pPr>
              <w:pStyle w:val="ConsPlusNonformat"/>
              <w:jc w:val="both"/>
            </w:pPr>
            <w:r>
              <w:t xml:space="preserve">воинских частей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   280        </w:t>
            </w:r>
          </w:p>
        </w:tc>
      </w:tr>
      <w:tr w:rsidR="009324FB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Газификация жилого фонда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   1400       </w:t>
            </w:r>
          </w:p>
        </w:tc>
      </w:tr>
      <w:tr w:rsidR="009324FB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          </w:t>
            </w:r>
            <w:proofErr w:type="gramStart"/>
            <w:r>
              <w:t xml:space="preserve">ИТОГО:   </w:t>
            </w:r>
            <w:proofErr w:type="gramEnd"/>
            <w:r>
              <w:t xml:space="preserve">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9324FB" w:rsidRDefault="009324FB">
            <w:pPr>
              <w:pStyle w:val="ConsPlusNonformat"/>
              <w:jc w:val="both"/>
            </w:pPr>
            <w:r>
              <w:t xml:space="preserve">      18 474      </w:t>
            </w:r>
          </w:p>
        </w:tc>
      </w:tr>
    </w:tbl>
    <w:p w:rsidR="009324FB" w:rsidRDefault="009324FB">
      <w:pPr>
        <w:pStyle w:val="ConsPlusNormal"/>
        <w:jc w:val="both"/>
      </w:pPr>
    </w:p>
    <w:p w:rsidR="009324FB" w:rsidRDefault="009324FB">
      <w:pPr>
        <w:pStyle w:val="ConsPlusNormal"/>
        <w:jc w:val="center"/>
        <w:outlineLvl w:val="1"/>
      </w:pPr>
      <w:r>
        <w:t>Этап 5. Программа газификации Камчатского края</w:t>
      </w:r>
    </w:p>
    <w:p w:rsidR="009324FB" w:rsidRDefault="009324FB">
      <w:pPr>
        <w:pStyle w:val="ConsPlusNormal"/>
        <w:jc w:val="both"/>
      </w:pPr>
    </w:p>
    <w:p w:rsidR="009324FB" w:rsidRDefault="009324FB">
      <w:pPr>
        <w:pStyle w:val="ConsPlusNormal"/>
        <w:ind w:firstLine="540"/>
        <w:jc w:val="both"/>
      </w:pPr>
      <w:r>
        <w:t>При формировании Программы газификации учитывается синхронизация строительства газопроводов-отводов и межпоселковых газопроводов со строительством городских и внутрипоселковых газопроводов и подготовкой потребителей, с целью обеспечения загрузки строящихся объектов и повышения экономической эффективности.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В настоящее время осуществлен пуск газа на ГРС-1 и ГРС-2 г. Петропавловск-Камчатский и завершается строительство межпоселкового газопровода до ТЭЦ-2. Первоочередной задачей ставится дальнейшая загрузка ГРС-1 и ГРС-2 г. Петропавловск-Камчатский, с целью реализации которой предусмотрено строительство межпоселковых газопроводов до ТЭЦ-1, до краевой больницы, комплекса жилых и служебных зданий ОАО "Газпром" и котельной N 91 "11 км". При этом требуется осуществление перевода на газ ТЭЦ-1 и 2 котельных, не считая котельной ОАО "Газпром".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lastRenderedPageBreak/>
        <w:t>Действуют источники газоснабжения и в Соболевском районе - ГРС Соболево и ГРС Крутогорово. Программа газификации предусматривает развитие газификации населения путем строительства внутрипоселковых газопроводов, газификации квартир и перевода на газ 1 котельной также на первом этапе (2011-2012 гг.). Строительство межпоселкового газопровода до н.п. Устьевое и подготовка потребителей, включая перевод на газ 2 котельных, должны завершиться в 2014 году.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Учитывая сжатые сроки реализации Программы, к концу 2012 году предложено завершить строительство газопровода-отвода и ГРС Елизово, строительство 63 км межпоселковых газопроводов, и к началу отопительного сезона 2012 года осуществить перевод на газ 2 котельных Вилючинского городского округа. Развитие газификации населенных пунктов Елизовского района, источником газификации которых является указанный межпоселковый газопровод, распределено на период до 2015 года.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 xml:space="preserve">Строительство газопроводов-отводов и </w:t>
      </w:r>
      <w:proofErr w:type="gramStart"/>
      <w:r>
        <w:t>ГРС Начики</w:t>
      </w:r>
      <w:proofErr w:type="gramEnd"/>
      <w:r>
        <w:t xml:space="preserve"> и ГРС Раздольный синхронно со строительством межпоселковых газопроводов до населенных пунктов Елизовского района должно завершиться к концу 2013 года, обеспечив пуск газа на нескольких котельных к началу отопительного сезона. Газификация населения и перевод котельных в населенных пунктах предложено завершить до 2015 года.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Завершение строительства газопровода-отвода и ГРС Апача, межпоселковых газопроводов и объектов газификации Усть-Большерецкого района отнесено на 2015 год.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Строительство АГНКС предусмотрено с 2011 года (ПИР) с выходом на максимальную производительность сети АГНКС (5 ед.) к концу 2014 года.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Очередность ввода объектов системы газоснабжения и газификации Камчатского края представлена в виде таблицы с разбивкой на обязательства ОАО "Газпром" (строительство газопроводов-отводов, межпоселковых газопроводов, АГНКС) и обязательства Камчатского края, включая бюджетное финансирование, бюджет Министерства обороны РФ и средства ОАО "Камчатскэнерго" (строительство внутрипоселковых и городских газопроводов, газификация домовладений (квартир), газификация объектов энергетики) (см. таблицу).</w:t>
      </w:r>
    </w:p>
    <w:p w:rsidR="009324FB" w:rsidRDefault="009324FB">
      <w:pPr>
        <w:pStyle w:val="ConsPlusNormal"/>
        <w:jc w:val="both"/>
      </w:pPr>
    </w:p>
    <w:p w:rsidR="009324FB" w:rsidRDefault="009324FB">
      <w:pPr>
        <w:pStyle w:val="ConsPlusTitle"/>
        <w:jc w:val="center"/>
        <w:outlineLvl w:val="2"/>
      </w:pPr>
      <w:r>
        <w:t>ОЧЕРЕДНОСТЬ ВВОДА ОБЪЕКТОВ ГАЗОСНАБЖЕНИЯ И ГАЗИФИКАЦИИ</w:t>
      </w:r>
    </w:p>
    <w:p w:rsidR="009324FB" w:rsidRDefault="009324FB">
      <w:pPr>
        <w:pStyle w:val="ConsPlusNormal"/>
        <w:spacing w:before="220"/>
        <w:jc w:val="center"/>
      </w:pPr>
      <w:r>
        <w:t>(Таблица не приводится)</w:t>
      </w:r>
    </w:p>
    <w:p w:rsidR="009324FB" w:rsidRDefault="009324FB">
      <w:pPr>
        <w:pStyle w:val="ConsPlusNormal"/>
        <w:jc w:val="both"/>
      </w:pPr>
    </w:p>
    <w:p w:rsidR="009324FB" w:rsidRDefault="009324FB">
      <w:pPr>
        <w:pStyle w:val="ConsPlusNormal"/>
        <w:ind w:firstLine="540"/>
        <w:jc w:val="both"/>
      </w:pPr>
      <w:r>
        <w:t>Поэтапное строительство газопроводов-отводов и межпоселковых газопроводов требует обеспечения синхронизации их строительства со строительством городских и внутрипоселковых газопроводов и подготовкой потребителей, чтобы обеспечить загрузку строящихся объектов и повысить эффективность капитальных вложений.</w:t>
      </w:r>
    </w:p>
    <w:p w:rsidR="009324FB" w:rsidRDefault="009324FB">
      <w:pPr>
        <w:pStyle w:val="ConsPlusNormal"/>
        <w:spacing w:before="220"/>
        <w:ind w:firstLine="540"/>
        <w:jc w:val="both"/>
      </w:pPr>
      <w:r>
        <w:t>Для решения этой задачи разработан План-график синхронизации на 2010-2015 годы, в котором представлены основные этапы, сроки проведения и объемы проектных и строительно-монтажных работ, а также работ по вводу объектов в эксплуатацию. Данный План-график сформирован исходя из условия 100 % реализации к 2015 году Генеральной схемы газоснабжения и газификации Камчатского края.</w:t>
      </w:r>
    </w:p>
    <w:p w:rsidR="009324FB" w:rsidRDefault="009324FB">
      <w:pPr>
        <w:pStyle w:val="ConsPlusNormal"/>
        <w:jc w:val="both"/>
      </w:pPr>
    </w:p>
    <w:p w:rsidR="009324FB" w:rsidRDefault="009324FB">
      <w:pPr>
        <w:pStyle w:val="ConsPlusNormal"/>
        <w:jc w:val="both"/>
      </w:pPr>
    </w:p>
    <w:p w:rsidR="009324FB" w:rsidRDefault="009324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7FDD" w:rsidRDefault="00867FDD">
      <w:bookmarkStart w:id="1" w:name="_GoBack"/>
      <w:bookmarkEnd w:id="1"/>
    </w:p>
    <w:sectPr w:rsidR="00867FDD" w:rsidSect="00B03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FB"/>
    <w:rsid w:val="00867FDD"/>
    <w:rsid w:val="0093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EE547-308E-4FDC-B041-C30B9E26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4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24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24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24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3638</Words>
  <Characters>20739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Анна Сергеевна</dc:creator>
  <cp:keywords/>
  <dc:description/>
  <cp:lastModifiedBy>Бабич Анна Сергеевна</cp:lastModifiedBy>
  <cp:revision>1</cp:revision>
  <dcterms:created xsi:type="dcterms:W3CDTF">2020-01-31T03:33:00Z</dcterms:created>
  <dcterms:modified xsi:type="dcterms:W3CDTF">2020-01-31T03:33:00Z</dcterms:modified>
</cp:coreProperties>
</file>