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06" w:type="dxa"/>
        <w:jc w:val="left"/>
        <w:tblInd w:w="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</w:tblGrid>
      <w:tr>
        <w:trPr>
          <w:trHeight w:val="232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020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rPr/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8"/>
                <w:szCs w:val="20"/>
                <w:lang w:val="ru-RU" w:eastAsia="en-US" w:bidi="ar-SA"/>
              </w:rPr>
              <w:t>Об утверждении нормативов потерь питьевой воды, технической воды в централизованных системах водоснабжения при ее транспортировке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themeColor="text1"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 xml:space="preserve">АО «Корякэнерго»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8"/>
                <w:szCs w:val="20"/>
                <w:lang w:val="ru-RU" w:eastAsia="en-US" w:bidi="ar-SA"/>
              </w:rPr>
              <w:t>на 2025-2029 годы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firstLine="68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1. Утвердить нормативы потерь питьевой воды, технической воды в централизованных системах водоснабжения при ее транспортировке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themeColor="text1" w:val="000000"/>
          <w:spacing w:val="0"/>
          <w:kern w:val="0"/>
          <w:sz w:val="28"/>
          <w:szCs w:val="28"/>
          <w:lang w:val="ru-RU" w:eastAsia="en-US" w:bidi="ar-SA"/>
        </w:rPr>
        <w:t>АО «Корякэнерго»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на 2025-2029 годы,</w:t>
      </w:r>
      <w:r>
        <w:rPr>
          <w:rFonts w:ascii="Times New Roman" w:hAnsi="Times New Roman"/>
          <w:b w:val="false"/>
          <w:bCs w:val="false"/>
          <w:sz w:val="28"/>
        </w:rPr>
        <w:t xml:space="preserve"> согласно прилож</w:t>
      </w:r>
      <w:r>
        <w:rPr>
          <w:rFonts w:ascii="Times New Roman" w:hAnsi="Times New Roman"/>
          <w:sz w:val="28"/>
        </w:rPr>
        <w:t>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4407"/>
        <w:gridCol w:w="2837"/>
      </w:tblGrid>
      <w:tr>
        <w:trPr>
          <w:trHeight w:val="2220" w:hRule="atLeast"/>
        </w:trPr>
        <w:tc>
          <w:tcPr>
            <w:tcW w:w="29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И.о.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А.А.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Сидельников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160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жилищно-коммунального хозяйства и энергетики Камчатского края</w:t>
      </w:r>
    </w:p>
    <w:tbl>
      <w:tblPr>
        <w:tblStyle w:val="a3"/>
        <w:tblW w:w="4875" w:type="dxa"/>
        <w:jc w:val="left"/>
        <w:tblInd w:w="50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834"/>
        <w:gridCol w:w="495"/>
        <w:gridCol w:w="1980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34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>Нормативы потерь питьевой воды, технической воды в централизованных системах водоснабжения при ее транспортировке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themeColor="text1"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АО «Корякэнерго»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 </w:t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на 2025-2029 годы</w:t>
      </w:r>
    </w:p>
    <w:p>
      <w:pPr>
        <w:pStyle w:val="Normal"/>
        <w:spacing w:lineRule="auto" w:line="240" w:before="0" w:after="0"/>
        <w:ind w:firstLine="708" w:left="0" w:right="0"/>
        <w:jc w:val="center"/>
        <w:rPr>
          <w:rFonts w:ascii="Times New Roman" w:hAnsi="Times New Roman" w:eastAsia="NSimSun" w:cs="Arial"/>
          <w:b w:val="false"/>
          <w:bCs w:val="false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tbl>
      <w:tblPr>
        <w:tblStyle w:val="Style_2"/>
        <w:tblW w:w="1020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4349"/>
        <w:gridCol w:w="3562"/>
        <w:gridCol w:w="1699"/>
      </w:tblGrid>
      <w:tr>
        <w:trPr>
          <w:trHeight w:val="34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Вид нормативов потерь воды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«село Апука»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технической воды при транспортировке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68,14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«село Ачайваям»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14,85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Пахачи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96,28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Хаилино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Тиличики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81,20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Ильпырское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98,26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Тымлат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технической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35,87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60,18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Устьевое сельское поселение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55,87</w:t>
            </w:r>
          </w:p>
        </w:tc>
      </w:tr>
      <w:tr>
        <w:trPr>
          <w:trHeight w:val="346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Крутогоровское сельское поселение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</w:tr>
    </w:tbl>
    <w:p>
      <w:pPr>
        <w:pStyle w:val="Normal"/>
        <w:spacing w:lineRule="auto" w:line="240" w:before="0" w:after="0"/>
        <w:ind w:firstLine="708" w:left="0" w:right="0"/>
        <w:jc w:val="center"/>
        <w:rPr>
          <w:rFonts w:ascii="Times New Roman" w:hAnsi="Times New Roman" w:eastAsia="NSimSun" w:cs="Arial"/>
          <w:b w:val="false"/>
          <w:bCs w:val="false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 w:left="0" w:right="113"/>
        <w:jc w:val="center"/>
        <w:rPr>
          <w:rFonts w:ascii="Times New Roman" w:hAnsi="Times New Roman" w:eastAsia="Calibri" w:cs="Times New Roman"/>
          <w:b w:val="false"/>
          <w:bCs w:val="false"/>
          <w:color w:val="000000"/>
          <w:spacing w:val="0"/>
          <w:sz w:val="28"/>
          <w:szCs w:val="28"/>
          <w:highlight w:val="non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en-US" w:bidi="ar-SA"/>
        </w:rPr>
      </w:r>
    </w:p>
    <w:p>
      <w:pPr>
        <w:pStyle w:val="Normal"/>
        <w:spacing w:before="0" w:after="160"/>
        <w:rPr>
          <w:rFonts w:eastAsia="NSimSun" w:cs="Arial"/>
          <w:b w:val="false"/>
          <w:bCs w:val="false"/>
          <w:i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pPr>
      <w:r>
        <w:rPr>
          <w:rFonts w:eastAsia="NSimSun" w:cs="Arial"/>
          <w:b w:val="false"/>
          <w:bCs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709" w:top="1134" w:footer="0" w:bottom="829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252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Style9">
    <w:name w:val="Содержимое врезки"/>
    <w:link w:val="12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111111111111111111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Style12">
    <w:name w:val="Указатель"/>
    <w:link w:val="111111111111111112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link w:val="Textbody2"/>
    <w:qFormat/>
    <w:rPr>
      <w:rFonts w:ascii="Calibri" w:hAnsi="Calibri" w:asciiTheme="minorAscii" w:hAnsiTheme="minorHAnsi"/>
      <w:color w:val="000000"/>
      <w:spacing w:val="0"/>
      <w:sz w:val="22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cs="Ari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cs="Arial"/>
    </w:rPr>
  </w:style>
  <w:style w:type="paragraph" w:styleId="1111111111111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2">
    <w:name w:val="Указатель1111111111111"/>
    <w:basedOn w:val="Normal"/>
    <w:qFormat/>
    <w:pPr>
      <w:suppressLineNumbers/>
    </w:pPr>
    <w:rPr>
      <w:rFonts w:cs="Arial"/>
    </w:rPr>
  </w:style>
  <w:style w:type="paragraph" w:styleId="11111111111111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2">
    <w:name w:val="Указатель11111111111111"/>
    <w:basedOn w:val="Normal"/>
    <w:qFormat/>
    <w:pPr>
      <w:suppressLineNumbers/>
    </w:pPr>
    <w:rPr>
      <w:rFonts w:cs="Arial"/>
    </w:rPr>
  </w:style>
  <w:style w:type="paragraph" w:styleId="111111111111111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2">
    <w:name w:val="Указатель111111111111111"/>
    <w:basedOn w:val="Normal"/>
    <w:qFormat/>
    <w:pPr>
      <w:suppressLineNumbers/>
    </w:pPr>
    <w:rPr>
      <w:rFonts w:cs="Arial"/>
    </w:rPr>
  </w:style>
  <w:style w:type="paragraph" w:styleId="1111111111111111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2">
    <w:name w:val="Указатель1111111111111111"/>
    <w:basedOn w:val="Normal"/>
    <w:qFormat/>
    <w:pPr>
      <w:suppressLineNumbers/>
    </w:pPr>
    <w:rPr>
      <w:rFonts w:cs="Arial"/>
    </w:rPr>
  </w:style>
  <w:style w:type="paragraph" w:styleId="111111111111111111">
    <w:name w:val="Заголовок11111111111111111"/>
    <w:basedOn w:val="Normal"/>
    <w:next w:val="BodyText"/>
    <w:link w:val="Style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1111112">
    <w:name w:val="Указатель11111111111111111"/>
    <w:basedOn w:val="Normal"/>
    <w:link w:val="Style12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12">
    <w:name w:val="Содержимое врезки1"/>
    <w:basedOn w:val="Normal"/>
    <w:link w:val="Style9"/>
    <w:qFormat/>
    <w:pPr/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andFooter12">
    <w:name w:val="Header and Footer12"/>
    <w:basedOn w:val="Normal"/>
    <w:qFormat/>
    <w:pPr/>
    <w:rPr/>
  </w:style>
  <w:style w:type="paragraph" w:styleId="HeaderandFooter13">
    <w:name w:val="Header and Footer13"/>
    <w:basedOn w:val="Normal"/>
    <w:qFormat/>
    <w:pPr/>
    <w:rPr/>
  </w:style>
  <w:style w:type="paragraph" w:styleId="HeaderandFooter14">
    <w:name w:val="Header and Footer14"/>
    <w:basedOn w:val="Normal"/>
    <w:qFormat/>
    <w:pPr/>
    <w:rPr/>
  </w:style>
  <w:style w:type="paragraph" w:styleId="HeaderandFooter15">
    <w:name w:val="Header and Footer15"/>
    <w:basedOn w:val="Normal"/>
    <w:qFormat/>
    <w:pPr/>
    <w:rPr/>
  </w:style>
  <w:style w:type="paragraph" w:styleId="HeaderandFooter16">
    <w:name w:val="Header and Footer16"/>
    <w:basedOn w:val="Normal"/>
    <w:qFormat/>
    <w:pPr/>
    <w:rPr/>
  </w:style>
  <w:style w:type="paragraph" w:styleId="HeaderandFooter17">
    <w:name w:val="Header and Footer17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Содержимое врезки2"/>
    <w:basedOn w:val="Normal"/>
    <w:qFormat/>
    <w:pPr/>
    <w:rPr/>
  </w:style>
  <w:style w:type="paragraph" w:styleId="3">
    <w:name w:val="Содержимое врезки3"/>
    <w:basedOn w:val="Normal"/>
    <w:qFormat/>
    <w:pPr/>
    <w:rPr/>
  </w:style>
  <w:style w:type="paragraph" w:styleId="4">
    <w:name w:val="Содержимое врезки4"/>
    <w:basedOn w:val="Normal"/>
    <w:qFormat/>
    <w:pPr/>
    <w:rPr/>
  </w:style>
  <w:style w:type="paragraph" w:styleId="5">
    <w:name w:val="Содержимое врезки5"/>
    <w:basedOn w:val="Normal"/>
    <w:qFormat/>
    <w:pPr/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6">
    <w:name w:val="Содержимое врезки6"/>
    <w:basedOn w:val="Normal"/>
    <w:qFormat/>
    <w:pPr/>
    <w:rPr/>
  </w:style>
  <w:style w:type="paragraph" w:styleId="7">
    <w:name w:val="Содержимое врезки7"/>
    <w:basedOn w:val="Normal"/>
    <w:qFormat/>
    <w:pPr/>
    <w:rPr/>
  </w:style>
  <w:style w:type="paragraph" w:styleId="8">
    <w:name w:val="Содержимое врезки8"/>
    <w:basedOn w:val="Normal"/>
    <w:qFormat/>
    <w:pPr/>
    <w:rPr/>
  </w:style>
  <w:style w:type="paragraph" w:styleId="9">
    <w:name w:val="Содержимое врезки9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0">
    <w:name w:val="Содержимое врезки10"/>
    <w:basedOn w:val="Normal"/>
    <w:qFormat/>
    <w:pPr/>
    <w:rPr/>
  </w:style>
  <w:style w:type="paragraph" w:styleId="113">
    <w:name w:val="Содержимое врезки11"/>
    <w:basedOn w:val="Normal"/>
    <w:qFormat/>
    <w:pPr/>
    <w:rPr/>
  </w:style>
  <w:style w:type="paragraph" w:styleId="121">
    <w:name w:val="Содержимое врезки12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paragraph" w:styleId="14">
    <w:name w:val="Содержимое врезки14"/>
    <w:basedOn w:val="Normal"/>
    <w:qFormat/>
    <w:pPr/>
    <w:rPr/>
  </w:style>
  <w:style w:type="paragraph" w:styleId="15">
    <w:name w:val="Содержимое врезки15"/>
    <w:basedOn w:val="Normal"/>
    <w:qFormat/>
    <w:pPr/>
    <w:rPr/>
  </w:style>
  <w:style w:type="paragraph" w:styleId="16">
    <w:name w:val="Содержимое врезки16"/>
    <w:basedOn w:val="Normal"/>
    <w:qFormat/>
    <w:pPr/>
    <w:rPr/>
  </w:style>
  <w:style w:type="paragraph" w:styleId="17">
    <w:name w:val="Содержимое врезки17"/>
    <w:basedOn w:val="Normal"/>
    <w:qFormat/>
    <w:pPr/>
    <w:rPr/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LibreOffice/24.2.7.2$Windows_X86_64 LibreOffice_project/ee3885777aa7032db5a9b65deec9457448a91162</Application>
  <AppVersion>15.0000</AppVersion>
  <Pages>2</Pages>
  <Words>303</Words>
  <Characters>2223</Characters>
  <CharactersWithSpaces>2458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2025-05-07T11:19:58Z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