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</w:r>
      <w:r>
        <w:rPr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признании утратившими силу отдельных постановлений и положений постановлений Правительства Камчатского края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/>
    </w:p>
    <w:p>
      <w:pPr>
        <w:jc w:val="center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(далее – Проект)</w:t>
      </w:r>
      <w:r/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упорядочения законодательства Камчатского края.</w:t>
      </w:r>
      <w:r>
        <w:rPr>
          <w:sz w:val="28"/>
          <w:szCs w:val="28"/>
          <w:highlight w:val="none"/>
        </w:rPr>
      </w:r>
    </w:p>
    <w:p>
      <w:pPr>
        <w:ind w:left="0" w:firstLine="709"/>
        <w:jc w:val="both"/>
        <w:rPr>
          <w:sz w:val="28"/>
          <w:szCs w:val="28"/>
          <w14:ligatures w14:val="none"/>
        </w:rPr>
      </w:pPr>
      <w:r>
        <w:rPr>
          <w:sz w:val="28"/>
        </w:rPr>
      </w:r>
      <w:r>
        <w:rPr>
          <w:sz w:val="28"/>
          <w:szCs w:val="28"/>
        </w:rPr>
        <w:t xml:space="preserve">В связи с внесением изменений Федеральный закон от 13.07.2024</w:t>
      </w:r>
      <w:r>
        <w:rPr>
          <w:sz w:val="28"/>
          <w:szCs w:val="28"/>
        </w:rPr>
        <w:br/>
        <w:t xml:space="preserve">№ 177-ФЗ </w:t>
      </w:r>
      <w:r>
        <w:rPr>
          <w:sz w:val="28"/>
        </w:rPr>
        <w:t xml:space="preserve">«</w:t>
      </w:r>
      <w:r>
        <w:rPr>
          <w:sz w:val="28"/>
          <w:szCs w:val="28"/>
        </w:rPr>
        <w:t xml:space="preserve">О внесении изменений в Бюджетный кодекс Росси</w:t>
      </w:r>
      <w:r>
        <w:rPr>
          <w:sz w:val="28"/>
          <w:szCs w:val="28"/>
        </w:rPr>
        <w:t xml:space="preserve">йской Федерации и отдельные законодательные акты Российской Федерации</w:t>
      </w:r>
      <w:r>
        <w:rPr>
          <w:sz w:val="28"/>
        </w:rPr>
        <w:t xml:space="preserve">»,</w:t>
      </w:r>
      <w:r>
        <w:rPr>
          <w:sz w:val="28"/>
          <w:szCs w:val="28"/>
        </w:rPr>
        <w:t xml:space="preserve"> в Камчатском крае принято постановление Правительства Камчатского кр</w:t>
      </w:r>
      <w:r>
        <w:rPr>
          <w:sz w:val="28"/>
          <w:szCs w:val="28"/>
        </w:rPr>
        <w:t xml:space="preserve">ая от </w:t>
      </w:r>
      <w:r>
        <w:rPr>
          <w:sz w:val="28"/>
          <w:szCs w:val="28"/>
        </w:rPr>
        <w:t xml:space="preserve">06.02.2025 № 46-П </w:t>
      </w:r>
      <w:r>
        <w:rPr>
          <w:sz w:val="28"/>
        </w:rPr>
        <w:br/>
        <w:t xml:space="preserve">«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Об утверждении Порядка определения объема и условий предоставления из краевого бюджета за счет средств краевого бюджета субсидии бюджетным и автономным учреждениям, за исключением краевых государственных бюджетных учреждений, на иные цели на возмещение не</w:t>
      </w:r>
      <w:r>
        <w:rPr>
          <w:sz w:val="28"/>
          <w:szCs w:val="28"/>
        </w:rPr>
        <w:t xml:space="preserve">дополученных доходов, возникших в связи с оказанием потребителям коммунальных услуг по льготным тарифам</w:t>
      </w:r>
      <w:r>
        <w:rPr>
          <w:sz w:val="28"/>
        </w:rPr>
        <w:t xml:space="preserve">»</w:t>
      </w:r>
      <w:r/>
      <w:r>
        <w:rPr>
          <w:sz w:val="28"/>
          <w:szCs w:val="28"/>
        </w:rPr>
        <w:t xml:space="preserve"> (далее – Порядок № 46-П), которое </w:t>
      </w:r>
      <w:r>
        <w:rPr>
          <w:sz w:val="28"/>
          <w:szCs w:val="28"/>
          <w14:ligatures w14:val="none"/>
        </w:rPr>
      </w:r>
      <w:r>
        <w:rPr>
          <w:sz w:val="28"/>
          <w:szCs w:val="28"/>
        </w:rPr>
        <w:t xml:space="preserve">предусматривает предоставление субсидии в соответствии с абзацем вторым пункта 1 статьи 78</w:t>
      </w:r>
      <w:r>
        <w:rPr>
          <w:sz w:val="28"/>
          <w:szCs w:val="28"/>
          <w:vertAlign w:val="superscript"/>
        </w:rPr>
        <w:t xml:space="preserve">1</w:t>
      </w:r>
      <w:r>
        <w:rPr>
          <w:sz w:val="28"/>
          <w:szCs w:val="28"/>
        </w:rPr>
        <w:t xml:space="preserve"> Бюджетного кодекса Российской Федерации в отношении </w:t>
      </w:r>
      <w:r>
        <w:rPr>
          <w:sz w:val="28"/>
          <w:szCs w:val="28"/>
        </w:rPr>
        <w:t xml:space="preserve">бюджетных и автономных учреждений</w:t>
      </w:r>
      <w:r/>
      <w:r>
        <w:rPr>
          <w:sz w:val="28"/>
          <w:szCs w:val="28"/>
        </w:rPr>
      </w:r>
      <w:r>
        <w:rPr>
          <w:sz w:val="28"/>
        </w:rPr>
        <w:t xml:space="preserve">.</w:t>
      </w:r>
      <w:r/>
      <w:r/>
      <w:r>
        <w:rPr>
          <w:sz w:val="28"/>
          <w:szCs w:val="28"/>
          <w14:ligatures w14:val="none"/>
        </w:rPr>
      </w:r>
    </w:p>
    <w:p>
      <w:pPr>
        <w:ind w:left="0" w:right="0" w:firstLine="708"/>
        <w:jc w:val="both"/>
        <w:spacing w:before="0" w:after="0" w:line="288" w:lineRule="atLeast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Действующее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 Правительства Камчатского края от 20.07.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2020 № 291-П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по льготным тарифам, в Камчатском крае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Порядок № 291-П) регламентирует предоставление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грантов в форме субсидий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возмещение недополученных доходов, возникших в связи с </w:t>
      </w:r>
      <w:r>
        <w:rPr>
          <w:sz w:val="28"/>
          <w:szCs w:val="28"/>
        </w:rPr>
        <w:t xml:space="preserve">оказанием потребителям коммунальных услуг по льготным тарифам</w:t>
      </w:r>
      <w:r>
        <w:rPr>
          <w:sz w:val="28"/>
          <w:szCs w:val="28"/>
        </w:rPr>
        <w:t xml:space="preserve"> только федеральному государственному </w:t>
      </w:r>
      <w:r>
        <w:rPr>
          <w:sz w:val="28"/>
          <w:szCs w:val="28"/>
        </w:rPr>
        <w:t xml:space="preserve">бюджетному учреждению </w:t>
      </w:r>
      <w:r>
        <w:rPr>
          <w:sz w:val="28"/>
        </w:rPr>
        <w:t xml:space="preserve">«</w:t>
      </w:r>
      <w:r>
        <w:rPr>
          <w:sz w:val="28"/>
          <w:szCs w:val="28"/>
        </w:rPr>
        <w:t xml:space="preserve">Центральное жилищно-коммунальное управление</w:t>
      </w:r>
      <w:r>
        <w:rPr>
          <w:sz w:val="28"/>
        </w:rPr>
        <w:t xml:space="preserve">»</w:t>
      </w:r>
      <w:r>
        <w:rPr>
          <w:sz w:val="28"/>
          <w:szCs w:val="28"/>
        </w:rPr>
        <w:t xml:space="preserve"> Министерства обороны Российской Федерации (далее – ФГБУ ЦЖКУ), которое также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подпадает под категорию получателей субсидии, как бюджетное учреждение, оказывающее потребителям коммунальные услуги </w:t>
      </w:r>
      <w:r>
        <w:rPr>
          <w:sz w:val="28"/>
          <w:szCs w:val="28"/>
        </w:rPr>
        <w:t xml:space="preserve">по льготным тарифам, установленным Региональной службой по тарифам и ценам Камчатского края в соответствии с частью 4 Порядка № 46-П.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left="0" w:right="0" w:firstLine="708"/>
        <w:jc w:val="both"/>
        <w:spacing w:before="0" w:after="0" w:line="288" w:lineRule="atLeast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Таким образом, средства гранта в форме субсидии</w:t>
      </w:r>
      <w:r>
        <w:rPr>
          <w:sz w:val="28"/>
        </w:rPr>
        <w:t xml:space="preserve">, предусмотренны</w:t>
      </w:r>
      <w:r>
        <w:rPr>
          <w:sz w:val="28"/>
        </w:rPr>
        <w:t xml:space="preserve">е</w:t>
      </w:r>
      <w:r>
        <w:rPr>
          <w:sz w:val="28"/>
        </w:rPr>
        <w:t xml:space="preserve"> Порядком № 291-П,</w:t>
      </w:r>
      <w:r>
        <w:rPr>
          <w:sz w:val="28"/>
        </w:rPr>
        <w:t xml:space="preserve"> направлены на те же цели, что и реализация Порядка № 46-П –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возмещение недополученных доходов, возникших в связи с оказанием населению, проживающему в Камчатском крае и исполнителям коммунальных услуг для населения Камчатского края коммунальных услуг, по льготным тарифам, утвержденным Регио</w:t>
      </w:r>
      <w:r>
        <w:rPr>
          <w:sz w:val="28"/>
          <w:szCs w:val="28"/>
        </w:rPr>
        <w:t xml:space="preserve">нальной службой по тарифам и ценам Камчатского края (далее – возмещение недополученных доходов) в целях решения задачи по обеспечению доступности отдельных коммунальных услуг населению в рамках направления по возмещению недополученных доходов </w:t>
      </w:r>
      <w:r>
        <w:rPr>
          <w:sz w:val="28"/>
          <w:szCs w:val="28"/>
        </w:rPr>
        <w:t xml:space="preserve">в связи с тарифным регулированием в коммунальной сфере государственной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sz w:val="28"/>
          <w:szCs w:val="28"/>
        </w:rPr>
        <w:t xml:space="preserve">Энергоэффективность, развитие энергетики и коммунального хозяйства, обеспечение жителей населенных пунктов Камчатского края коммунальными услугами</w:t>
      </w:r>
      <w:r>
        <w:rPr>
          <w:sz w:val="28"/>
        </w:rPr>
        <w:t xml:space="preserve">»</w:t>
      </w:r>
      <w:r/>
      <w:r>
        <w:rPr>
          <w:sz w:val="28"/>
          <w:szCs w:val="28"/>
        </w:rPr>
        <w:t xml:space="preserve">, утвержденной Постановлением Правительства Камчатского края от 23.01.2024 № 17-П</w:t>
      </w:r>
      <w:r>
        <w:rPr>
          <w:sz w:val="28"/>
          <w:szCs w:val="28"/>
        </w:rPr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  <w:szCs w:val="28"/>
        </w:rPr>
        <w:t xml:space="preserve">В связи с полным исполнением обязательств по соглашению 2024 года, заключенному в рамках реализации Порядка № 291-П и в связи с изданием Порядка </w:t>
        <w:br/>
        <w:t xml:space="preserve">№ 46-П, в сводную бюджетную роспись и лимиты бюджетных обязательств на 2025 год и плановый период 2026 и 2027 годов вн</w:t>
      </w:r>
      <w:r>
        <w:rPr>
          <w:sz w:val="28"/>
          <w:szCs w:val="28"/>
        </w:rPr>
        <w:t xml:space="preserve">есены соответствующие изменения.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В целях возмещения недополученных доходов, в 2025 году с </w:t>
      </w:r>
      <w:r>
        <w:rPr>
          <w:sz w:val="28"/>
          <w:szCs w:val="28"/>
        </w:rPr>
        <w:t xml:space="preserve">ФГБУ ЦЖК</w:t>
      </w:r>
      <w:r>
        <w:rPr>
          <w:sz w:val="28"/>
          <w:szCs w:val="28"/>
        </w:rPr>
        <w:t xml:space="preserve">У заключено соглашение о предоставлении субсидии в рамках Порядка № 46-П, в связи с чем Порядок № 291-П фактически не применим к правоотношениям, связанным с возмещением недополученных доходов и требует признания его утратившим силу.</w:t>
      </w:r>
      <w:r>
        <w:rPr>
          <w:sz w:val="28"/>
          <w:szCs w:val="28"/>
          <w14:ligatures w14:val="none"/>
        </w:rPr>
      </w:r>
    </w:p>
    <w:p>
      <w:pPr>
        <w:ind w:left="0" w:right="0" w:firstLine="708"/>
        <w:jc w:val="both"/>
        <w:spacing w:before="0" w:after="0" w:line="288" w:lineRule="atLeast"/>
        <w:rPr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Кроме того, Проектом предлагается признание утратившими силу отдельных постановлений и положений постановлений Правительства Камчатского края, которыми были внесены изменения в Порядок № 291-П.</w:t>
      </w:r>
      <w:r>
        <w:rPr>
          <w:sz w:val="28"/>
          <w:szCs w:val="28"/>
          <w14:ligatures w14:val="none"/>
        </w:rPr>
      </w:r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Проекта не потребует дополнительного</w:t>
      </w:r>
      <w:r>
        <w:rPr>
          <w:sz w:val="28"/>
        </w:rPr>
        <w:t xml:space="preserve"> финансирования из краевого бюджета. </w:t>
      </w:r>
      <w:r/>
    </w:p>
    <w:p>
      <w:pPr>
        <w:ind w:left="0" w:firstLine="709"/>
        <w:jc w:val="both"/>
        <w:rPr>
          <w:sz w:val="28"/>
          <w:szCs w:val="28"/>
          <w:highlight w:val="yellow"/>
          <w14:ligatures w14:val="none"/>
        </w:rPr>
      </w:pPr>
      <w:r>
        <w:rPr>
          <w:sz w:val="28"/>
          <w:szCs w:val="28"/>
          <w:highlight w:val="white"/>
        </w:rPr>
        <w:t xml:space="preserve">Потребность, заложенная в краевом бюджете для </w:t>
      </w:r>
      <w:r>
        <w:rPr>
          <w:sz w:val="28"/>
          <w:szCs w:val="28"/>
          <w:highlight w:val="white"/>
        </w:rPr>
        <w:t xml:space="preserve">ФГБУ ЦЖКУ </w:t>
      </w:r>
      <w:r>
        <w:rPr>
          <w:sz w:val="28"/>
          <w:szCs w:val="28"/>
          <w:highlight w:val="white"/>
        </w:rPr>
        <w:t xml:space="preserve">учтена </w:t>
      </w:r>
      <w:r>
        <w:rPr>
          <w:sz w:val="28"/>
          <w:szCs w:val="28"/>
          <w:highlight w:val="none"/>
        </w:rPr>
        <w:t xml:space="preserve">при формировании </w:t>
      </w:r>
      <w:r>
        <w:rPr>
          <w:sz w:val="28"/>
          <w:szCs w:val="28"/>
        </w:rPr>
        <w:t xml:space="preserve">лимитов бюджетных обязательств</w:t>
      </w:r>
      <w:r>
        <w:rPr>
          <w:sz w:val="28"/>
          <w:szCs w:val="28"/>
          <w:highlight w:val="none"/>
        </w:rPr>
        <w:t xml:space="preserve"> для реализации Порядка № 46-П.</w:t>
      </w:r>
      <w:r>
        <w:rPr>
          <w:highlight w:val="yellow"/>
        </w:rPr>
      </w:r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не подлежит оценке регулирующего воздейст</w:t>
      </w:r>
      <w:r>
        <w:rPr>
          <w:rStyle w:val="827"/>
          <w:sz w:val="28"/>
        </w:rPr>
        <w:t xml:space="preserve">вия в соответствии 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18 марта 2025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25 марта 2025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modified xsi:type="dcterms:W3CDTF">2025-03-18T02:42:40Z</dcterms:modified>
</cp:coreProperties>
</file>