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0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4"/>
          <w:sz w:val="28"/>
        </w:rPr>
        <w:t>Об утверждении Порядка предоставления в 2024 году из краевого бюджета за счет средств федерального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b w:val="1"/>
          <w:sz w:val="28"/>
        </w:rPr>
        <w:t xml:space="preserve"> и проведения отбора получателей субсидии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pacing w:val="4"/>
          <w:sz w:val="28"/>
        </w:rPr>
        <w:t>Порядок предоставления в 2024 году из краевого бюджета за счет средств федерального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r>
        <w:br w:type="page"/>
      </w:r>
    </w:p>
    <w:tbl>
      <w:tblPr>
        <w:tblStyle w:val="Style_6"/>
        <w:tblLayout w:type="fixed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4"/>
          <w:sz w:val="28"/>
        </w:rPr>
        <w:t>предоставления в 2024 году из краевого бюджета за счет средств федерального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3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Общие положения </w:t>
      </w:r>
    </w:p>
    <w:p w14:paraId="3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2024 году субсиди</w:t>
      </w:r>
      <w:r>
        <w:rPr>
          <w:rStyle w:val="Style_7_ch"/>
          <w:rFonts w:ascii="Times New Roman" w:hAnsi="Times New Roman"/>
          <w:sz w:val="28"/>
        </w:rPr>
        <w:t>и из краевого бюджета, в том числе за счет средств федерального бюджета, в цел</w:t>
      </w:r>
      <w:r>
        <w:rPr>
          <w:rFonts w:ascii="Times New Roman" w:hAnsi="Times New Roman"/>
          <w:sz w:val="28"/>
        </w:rPr>
        <w:t xml:space="preserve">ях решения задачи по обеспечению доступности отдельных коммунальных услуг населению в рамках направления по возмещению недополученных доходов в связи с тарифным регулированием в коммунальной сфере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</w:t>
      </w:r>
      <w:r>
        <w:rPr>
          <w:rFonts w:ascii="Times New Roman" w:hAnsi="Times New Roman"/>
          <w:spacing w:val="4"/>
          <w:sz w:val="28"/>
        </w:rPr>
        <w:t>энергоснабжающим организациям Камчатского края 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(далее соответственно – субсидия, недополученные доходы) в соответствии с </w:t>
      </w:r>
      <w:r>
        <w:rPr>
          <w:rFonts w:ascii="Times New Roman" w:hAnsi="Times New Roman"/>
          <w:sz w:val="28"/>
          <w:shd w:fill="FFFF6D" w:val="clear"/>
        </w:rPr>
        <w:t>Правилами….</w:t>
      </w:r>
      <w:r>
        <w:rPr>
          <w:rFonts w:ascii="Times New Roman" w:hAnsi="Times New Roman"/>
          <w:i w:val="1"/>
          <w:color w:val="FF0000"/>
          <w:sz w:val="28"/>
          <w:shd w:fill="FFFF6D" w:val="clear"/>
        </w:rPr>
        <w:t>(Федеральные правила, которые пока не приняты, находятся в процессе согласования)</w:t>
      </w:r>
      <w:r>
        <w:rPr>
          <w:rFonts w:ascii="Times New Roman" w:hAnsi="Times New Roman"/>
          <w:sz w:val="28"/>
        </w:rPr>
        <w:t>, и проведения отбора получателей субсидии (далее – отбор).</w:t>
      </w:r>
    </w:p>
    <w:p w14:paraId="4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Субсидия предоставляется Министерством жилищно-коммунального хозяйства и энергетики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 </w:t>
      </w:r>
    </w:p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 в 2024 году.</w:t>
      </w:r>
    </w:p>
    <w:p w14:paraId="4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. Способ предоставления субсидии – возмещение недополученных доходов.</w:t>
      </w:r>
    </w:p>
    <w:p w14:paraId="4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 xml:space="preserve">. 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highlight w:val="white"/>
        </w:rPr>
        <w:t xml:space="preserve">«Интернет» (далее соответственно – сеть «Интернет», 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(в разделе единого портала) в порядке, установленном Министерством финансов Российской Федерации.</w:t>
      </w:r>
    </w:p>
    <w:p w14:paraId="45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Иные положения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7000000">
      <w:pPr>
        <w:spacing w:after="0" w:line="240" w:lineRule="auto"/>
        <w:ind w:firstLine="708" w:left="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5. К категории получателей субсидии (участников отбора) относятся </w:t>
      </w:r>
      <w:r>
        <w:rPr>
          <w:rFonts w:ascii="Times New Roman" w:hAnsi="Times New Roman"/>
          <w:color w:val="000000"/>
          <w:sz w:val="28"/>
        </w:rPr>
        <w:t>юридические лица – энергоснабжающие организации Камчатского края, осуществляющие производство электрической энергии в режиме комбинированной выработки и отпуск электрической энергии по льготным тарифам, установленным Региональной службой по тарифам и ценам Камчатского края (далее – участники отбора, получатели субсидии Региональная служба).</w:t>
      </w: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Направление затрат, на возмещение которых предоставляется субсидия – </w:t>
      </w:r>
      <w:r>
        <w:rPr>
          <w:rFonts w:ascii="Times New Roman" w:hAnsi="Times New Roman"/>
          <w:sz w:val="28"/>
          <w:highlight w:val="white"/>
        </w:rPr>
        <w:t>возмещение недополученных доходов</w:t>
      </w:r>
      <w:r>
        <w:rPr>
          <w:rFonts w:ascii="Times New Roman" w:hAnsi="Times New Roman"/>
          <w:sz w:val="28"/>
        </w:rPr>
        <w:t>, возникших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связи с </w:t>
      </w:r>
      <w:r>
        <w:rPr>
          <w:rFonts w:ascii="Times New Roman" w:hAnsi="Times New Roman"/>
          <w:spacing w:val="4"/>
          <w:sz w:val="28"/>
        </w:rPr>
        <w:t>отпуском электрической энергии населению и приравненным к нему категориям потребителей по льготным тарифам.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 Условием предоставления субсидии является соответствие получателя субсидии (участника отбора) на даты рассмотрения заявки на участие в отборе и заключения соглашения о предоставлении субсидии (далее соответственно – заявка, соглашение) следующим требованиям: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rPr>
          <w:rFonts w:ascii="Times New Roman" w:hAnsi="Times New Roman"/>
          <w:sz w:val="28"/>
          <w:highlight w:val="white"/>
        </w:rPr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rFonts w:ascii="Times New Roman" w:hAnsi="Times New Roman"/>
          <w:color w:val="333333"/>
          <w:sz w:val="23"/>
        </w:rPr>
        <w:t>;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 контроле за деятельностью лиц, находящихся под иностранным влиянием»;</w:t>
      </w:r>
    </w:p>
    <w:p w14:paraId="4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установление для получателя субсидии (участника отбора) Региональной службой экономически обоснованного и льготного тарифов в сфере электроэнергетики;</w:t>
      </w:r>
    </w:p>
    <w:p w14:paraId="5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фактическое оказание получателем субсидии (участником отбора) услуги по </w:t>
      </w:r>
      <w:r>
        <w:rPr>
          <w:rFonts w:ascii="Times New Roman" w:hAnsi="Times New Roman"/>
          <w:spacing w:val="4"/>
          <w:sz w:val="28"/>
        </w:rPr>
        <w:t>отпуску электрической энергии населению и приравненным к нему категориям потребителей по льготным тариф</w:t>
      </w:r>
      <w:r>
        <w:rPr>
          <w:rStyle w:val="Style_4_ch"/>
          <w:rFonts w:ascii="Times New Roman" w:hAnsi="Times New Roman"/>
          <w:spacing w:val="4"/>
          <w:sz w:val="28"/>
        </w:rPr>
        <w:t>ам</w:t>
      </w:r>
      <w:r>
        <w:rPr>
          <w:rStyle w:val="Style_4_ch"/>
          <w:rFonts w:ascii="Times New Roman" w:hAnsi="Times New Roman"/>
          <w:spacing w:val="4"/>
          <w:sz w:val="28"/>
        </w:rPr>
        <w:t>;</w:t>
      </w:r>
    </w:p>
    <w:p w14:paraId="5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8) у получателя субсидии (участника отбора) в текущем финансовом году возникли недополученные доходы, которые не были возмещены на дату подачи заявки на участие в отборе и получения субсидии (далее – заявка), в соответствии с иными нормативными правовыми актами Камчатского края за отчетные периоды (части отчетных периодов) 2024 года.</w:t>
      </w:r>
    </w:p>
    <w:p w14:paraId="5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8. По результатам отбора с победителем (победителями) отбора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заключается соглашение о предоставлении субсидии (далее – 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(далее – система «Электронный бюджет») в порядке и сроки, установленные частью 67 настоящего Порядка.</w:t>
      </w:r>
    </w:p>
    <w:p w14:paraId="5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Соглашение</w:t>
      </w:r>
      <w:r>
        <w:rPr>
          <w:rFonts w:ascii="Times New Roman" w:hAnsi="Times New Roman"/>
          <w:sz w:val="28"/>
        </w:rPr>
        <w:t xml:space="preserve"> заключается в соответствии с типовыми формами, установленными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Федерации.</w:t>
      </w:r>
    </w:p>
    <w:p w14:paraId="5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9.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Российской Федерации.  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в течение 2 рабочих дней после дня принятия решения о заключении дополнительного соглашения, уведомляет получателей субсидии, с которыми заключено соглашение о данном намерении. 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Получатель субсидии в течение 3 рабочих дней со дня получения уведомления, указанного в абзаце третьем настоящей части,</w:t>
      </w:r>
      <w:r>
        <w:rPr>
          <w:rFonts w:ascii="Times New Roman" w:hAnsi="Times New Roman"/>
          <w:color w:themeColor="text1" w:val="000000"/>
          <w:sz w:val="28"/>
        </w:rPr>
        <w:t xml:space="preserve"> но не позднее 27 декабря 2024 года, организует подписание дополнительного соглашения посредством системы «Электронный бюджет». 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2 рабочих дней со дня получения подписанного получателем субсидии дополнительного соглашения к соглашению, но не позднее 28 декабря 2024 года, организует его подписание посредством системы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«Электронный бюджет».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5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 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12. Проверка получателей субсидии (участников отбора) на соответствие требованиям, указанным в части 7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  <w:highlight w:val="white"/>
        </w:rPr>
        <w:t>части 51 настоящего Порядка.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13. В случае отсутствия технической возможности осуществления автоматической проверки в системе «Электронный бюджет» получателя субсидии (участника отбора) требованиям, установленным в части 7 настоящего Порядка, соответствующие сведения запрашиваются Ми</w:t>
      </w:r>
      <w:r>
        <w:rPr>
          <w:rFonts w:ascii="Times New Roman" w:hAnsi="Times New Roman"/>
          <w:sz w:val="28"/>
        </w:rPr>
        <w:t xml:space="preserve">нистерством в сроки, указанные в части 51 настоящего Порядка, путем использования общедоступной информации, размещенной на официальных ресурсах исполнительных органов государственной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</w:t>
      </w:r>
      <w:r>
        <w:rPr>
          <w:rFonts w:ascii="Times New Roman" w:hAnsi="Times New Roman"/>
          <w:sz w:val="28"/>
        </w:rPr>
        <w:t>форм проверки, не противоречащих законодательству Российской Федерации.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Министерство в целях подтверждения соответствия получателя субсидии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0000000">
      <w:pPr>
        <w:widowControl w:val="0"/>
        <w:tabs>
          <w:tab w:leader="none" w:pos="1134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Расчет размера субсидии определяется по следующей формуле:</w:t>
      </w:r>
    </w:p>
    <w:p w14:paraId="61000000">
      <w:pPr>
        <w:widowControl w:val="0"/>
        <w:tabs>
          <w:tab w:leader="none" w:pos="1134" w:val="left"/>
        </w:tabs>
        <w:spacing w:after="0"/>
        <w:ind w:firstLine="709" w:left="0"/>
        <w:jc w:val="center"/>
      </w:pPr>
    </w:p>
    <w:tbl>
      <w:tblPr>
        <w:tblStyle w:val="Style_5"/>
        <w:tblInd w:type="dxa" w:w="4144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882"/>
        <w:gridCol w:w="1060"/>
      </w:tblGrid>
      <w:tr>
        <w:tc>
          <w:tcPr>
            <w:tcW w:type="dxa" w:w="188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widowControl w:val="0"/>
              <w:tabs>
                <w:tab w:leader="none" w:pos="1134" w:val="left"/>
              </w:tabs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8"/>
                <w:vertAlign w:val="subscript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= Sum V</w:t>
            </w:r>
            <w:r>
              <w:rPr>
                <w:rFonts w:ascii="Times New Roman" w:hAnsi="Times New Roman"/>
                <w:sz w:val="28"/>
                <w:vertAlign w:val="subscript"/>
              </w:rPr>
              <w:t>ij</w:t>
            </w:r>
          </w:p>
        </w:tc>
        <w:tc>
          <w:tcPr>
            <w:tcW w:type="dxa" w:w="1060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</w:tc>
      </w:tr>
    </w:tbl>
    <w:p w14:paraId="64000000">
      <w:pPr>
        <w:tabs>
          <w:tab w:leader="none" w:pos="1134" w:val="left"/>
        </w:tabs>
        <w:ind w:firstLine="709" w:left="0"/>
        <w:jc w:val="center"/>
      </w:pP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объем субсидий i-тому получателю субсидии на цели, указанные в части 1 настоящего Порядка;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общий объем фактически недополученных доходов i-того получателя субсидии, возникших в связи с оказанием услуги по отпуску электрической энергии населению и приравненным к нему категориям потребителей в j-том муниципальном образовании в Камчатском крае по льготным тарифам, рассчитываемый по следующей формуле:</w:t>
      </w:r>
    </w:p>
    <w:p w14:paraId="67000000">
      <w:pPr>
        <w:widowControl w:val="0"/>
        <w:tabs>
          <w:tab w:leader="none" w:pos="1134" w:val="left"/>
        </w:tabs>
        <w:spacing w:after="0"/>
        <w:ind w:firstLine="709" w:left="0"/>
        <w:jc w:val="center"/>
      </w:pPr>
    </w:p>
    <w:p w14:paraId="68000000">
      <w:pPr>
        <w:widowControl w:val="0"/>
        <w:tabs>
          <w:tab w:leader="none" w:pos="1134" w:val="left"/>
        </w:tabs>
        <w:spacing w:after="0"/>
        <w:ind w:firstLine="709" w:left="0"/>
        <w:jc w:val="center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= (T</w:t>
      </w:r>
      <w:r>
        <w:rPr>
          <w:rFonts w:ascii="Times New Roman" w:hAnsi="Times New Roman"/>
          <w:sz w:val="28"/>
          <w:vertAlign w:val="subscript"/>
        </w:rPr>
        <w:t>ei</w:t>
      </w:r>
      <w:r>
        <w:rPr>
          <w:rFonts w:ascii="Times New Roman" w:hAnsi="Times New Roman"/>
          <w:sz w:val="28"/>
        </w:rPr>
        <w:t xml:space="preserve"> – T</w:t>
      </w:r>
      <w:r>
        <w:rPr>
          <w:rFonts w:ascii="Times New Roman" w:hAnsi="Times New Roman"/>
          <w:sz w:val="28"/>
          <w:vertAlign w:val="subscript"/>
        </w:rPr>
        <w:t>y</w:t>
      </w:r>
      <w:r>
        <w:rPr>
          <w:rFonts w:ascii="Times New Roman" w:hAnsi="Times New Roman"/>
          <w:sz w:val="28"/>
        </w:rPr>
        <w:t>) × O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>, где: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</w:p>
    <w:p w14:paraId="6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ei</w:t>
      </w:r>
      <w:r>
        <w:rPr>
          <w:rFonts w:ascii="Times New Roman" w:hAnsi="Times New Roman"/>
          <w:sz w:val="28"/>
        </w:rPr>
        <w:t xml:space="preserve"> – экономически обоснованный тариф (без учета НДС), установленный Региональной службой для i-того получателя субсидии, на текущий финансовый период;</w:t>
      </w:r>
    </w:p>
    <w:p w14:paraId="6B000000">
      <w:pPr>
        <w:widowControl w:val="0"/>
        <w:tabs>
          <w:tab w:leader="none" w:pos="1701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y</w:t>
      </w:r>
      <w:r>
        <w:rPr>
          <w:rFonts w:ascii="Times New Roman" w:hAnsi="Times New Roman"/>
          <w:sz w:val="28"/>
        </w:rPr>
        <w:t xml:space="preserve"> – льготный тариф (без учета НДС), установленный Региональной службой для населения и приравненных к нему категорий потребителей j-того муниципального образования в Камчатском крае;</w:t>
      </w:r>
    </w:p>
    <w:p w14:paraId="6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объем полезного отпуска электрической энергии, фактически отпущенный i-тым получателем субсидии населению и приравненным к нему категориям потребителей в j-том муниципальном образовании в Камчатском крае в отчетном периоде, по льготным тарифам, установленным Региональной службой для таких потребителей.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отрицательного значения O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размер субсидии считается равным нулю.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Не позднее 2-го рабочего дня, следующего за днем заключения соглашения, Министерство издает приказ о перечислении субсидии и не позднее 10-го рабочего дня перечисляет субсидию на расчетный или корреспондентский счет, открытый получателю субсидии в учреждениях Центрального банка </w:t>
      </w:r>
      <w:r>
        <w:rPr>
          <w:rFonts w:ascii="Times New Roman" w:hAnsi="Times New Roman"/>
          <w:sz w:val="28"/>
        </w:rPr>
        <w:t>Российской Федерации или в кредитной организации, реквизиты которого указаны в Соглашении.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17. 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 № 1235.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19. </w:t>
      </w:r>
      <w:r>
        <w:rPr>
          <w:rFonts w:ascii="Times New Roman" w:hAnsi="Times New Roman"/>
          <w:sz w:val="28"/>
        </w:rPr>
        <w:t xml:space="preserve">Получатели субсидии обязаны возвратить средства субсидии в следующих размерах: 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 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целей предоставления субсидии – в размере нецелевого расходования бюджетных средств.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20. Письменное требование о возврате субсидии в краевой бюджет направляется Министерством получателю субсидии в течение 5 рабочих дней после дня выявления нарушений Министерством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21. При невозврате субсидии в сроки, установленные частью 18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7A000000">
      <w:pPr>
        <w:spacing w:after="0"/>
        <w:ind w:firstLine="709" w:left="0"/>
        <w:jc w:val="both"/>
      </w:pP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Отбор получателей субсидии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22. 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</w:rPr>
        <w:t>ов отбора.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23. Отбор осуществляется в системе «Электронный бюджет».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24.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25.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26. 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</w:rPr>
        <w:t>ю 7</w:t>
      </w:r>
      <w:r>
        <w:rPr>
          <w:rFonts w:ascii="Times New Roman" w:hAnsi="Times New Roman"/>
          <w:sz w:val="28"/>
          <w:highlight w:val="white"/>
        </w:rPr>
        <w:t xml:space="preserve"> настоящего Порядка, и категории участников отбора в соответствии с ча</w:t>
      </w:r>
      <w:r>
        <w:rPr>
          <w:rFonts w:ascii="Times New Roman" w:hAnsi="Times New Roman"/>
          <w:sz w:val="28"/>
        </w:rPr>
        <w:t>стью 5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27. Объявление о проведении отбора (далее – объявление) формируется Министерством в электронной форме посредством заполнения соответствующих экранных форм веб-интерфейса системе «Электронный бюджет», размещается в срок не позднее 18 декабря 2024 года и включает в себя следующую информацию в соответствии с настоящим Порядком </w:t>
      </w:r>
    </w:p>
    <w:p w14:paraId="8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отбора; 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характеристика (характеристики) результата (при ее установлении);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доменное имя и (или) указатели страниц государственной информационной системы в сети «Интернет»;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7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 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категории и (или) критерии отбора;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13) объем распределяемой субсидии в рамках отбора, порядок расчета размера субсидии,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установленный частью</w:t>
      </w:r>
      <w:r>
        <w:rPr>
          <w:rFonts w:ascii="Times New Roman" w:hAnsi="Times New Roman"/>
          <w:sz w:val="28"/>
          <w:highlight w:val="white"/>
        </w:rPr>
        <w:t xml:space="preserve"> 15 н</w:t>
      </w:r>
      <w:r>
        <w:rPr>
          <w:rFonts w:ascii="Times New Roman" w:hAnsi="Times New Roman"/>
          <w:sz w:val="28"/>
        </w:rPr>
        <w:t xml:space="preserve">астоящего Порядка, правила распределения субсидии по результатам отбора, а также предельное количество победителей отбора; 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объявления, даты начала и окончания срока такого предоставления; 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подписать соглашение; 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заключения соглашения; 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сроки размещения протокола подведения итогов отбора на едином портале.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28.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29.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 w14:paraId="9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30. Участники отбора, подавшие заявки, информируются в течение 2 рабочих дней об отмене проведения отбора в системе «Электронный бюджет».</w:t>
      </w:r>
    </w:p>
    <w:p w14:paraId="9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31. Отбор считается отмененным со дня размещения объявления о его отмене на едином портале.</w:t>
      </w:r>
    </w:p>
    <w:p w14:paraId="9A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32. К участию в отборе допускаются юридические лица, соответствующие категории участников отбора, установленной частью 5 настоящего Порядка, а также требованиям, установленным частью 7 настоящего Порядка.</w:t>
      </w:r>
    </w:p>
    <w:p w14:paraId="9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33. В целях участия в отборе участник отбора представляет в Региональную службу:</w:t>
      </w:r>
    </w:p>
    <w:p w14:paraId="9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 отчет о фактически недополученных доходах за отчетный месяц по форме, согласно приложению 1 к настоящему Порядку, с приложением </w:t>
      </w:r>
      <w:r>
        <w:rPr>
          <w:rFonts w:ascii="Times New Roman" w:hAnsi="Times New Roman"/>
          <w:sz w:val="28"/>
        </w:rPr>
        <w:t xml:space="preserve">отчетности о фактических объемах полезного отпуска электрической энергии по форме № 46-ЭЭ (полезный отпуск) «Сведения о полезном отпуске (продаже) электрической энергии и мощности отдельным категориям потребителей», утвержденной приказом Федеральной службы государственной статистики от 24.03.2022 № 141 «Об утверждении формы федерального статистического наблюдения для организации Федеральной антимонопольной службой </w:t>
      </w:r>
      <w:r>
        <w:rPr>
          <w:rFonts w:ascii="Times New Roman" w:hAnsi="Times New Roman"/>
          <w:sz w:val="28"/>
        </w:rPr>
        <w:t xml:space="preserve">федерального статистического наблюдения за деятельностью организаций в сфере электроэнергетики», и представленной по Единой информационно-аналитической системе «ФСТ России - РЭК - субъекты регулирования» (далее – ЕИАС) в формате шаблонов ЕИАС, размещенных в информационно-коммуникационной сети Интернет на сайте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"http://www.eias.ru/"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http://www.eias.ru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9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справку об обязательствах Министерства перед получателем субсидии в отношении расчетов по предоставленным на основании иных нормативных правовых актов Камчатского края субсидиям на цели, указанные в части 1 настоящего Порядка, подписанного с обеих сторон, по состоянию на дату не превышающую 5 дней до предоставления отчета (отчетов) о фактически недополученных доходах за отчетный период (отчетные периоды) по форме согласно приложению 2 к настоящему Порядку.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 целях получения справки, указанной в пункте 2 части 33 настоящего Порядка, участник отбора обращается с заявлением в произвольной форме в Министерство.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регистрируется в Министерстве в день его поступления.</w:t>
      </w:r>
    </w:p>
    <w:p w14:paraId="A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Справка изготавливается Министерством и направляется участнику отбора течение 2 рабочих дней после регистрации заявления, указанного в абзаце первом настоящей части посредством почтового отправления или нарочно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35. Региональная служба рассматривает отчет (отчеты) о фактически недополученных доходах и документы, указанные в части 33 настоящего Порядка, в пределах своей компетенции в течение 4 рабочих дней со дня их поступления в Региональную службу и согласовывает отчет (отчеты) о фактически недополученных доходах, либо отказывает в их согласовании или в согласовании одного из них по следующим основаниям:</w:t>
      </w: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участником отбора документов требованиям, установленным частью 33 настоящего Порядка, или непредставление (представление не в полном объеме) указанных документов;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участником отбора информации;</w:t>
      </w: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участником отбора документов после даты, установленной частью 33 настоящего Порядка.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в согласовании отчета (отчетов) о фактически недополученных доходах и (или) справки о сумме прироста недополученных доходов Региональная служба возвращает их и документы, представленные в соответствии с частью 33 настоящего Порядка, участнику отбора в течение 4 рабочих дней со дня их поступления в Региональную службу.</w:t>
      </w: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согласования отчет (отчеты) о фактически недополученных доходах направляется (направляются) Региональной службой участнику отбора в течение 2 рабочих дней посредством почтового отправления или нарочно. </w:t>
      </w: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несет ответственность за достоверность сведений, представленных в отчете (отчетах) о фактически недополученных доходах и в справке о сумме прироста недополученных доходов.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Участник отбора подает документы в Региональную службу на бумажном носителе.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участником отбора, подлежат регистрации в день поступления в Региональную службу.</w:t>
      </w:r>
    </w:p>
    <w:p w14:paraId="AA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37.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 xml:space="preserve">тями </w:t>
      </w:r>
      <w:r>
        <w:rPr>
          <w:rFonts w:ascii="Times New Roman" w:hAnsi="Times New Roman"/>
          <w:sz w:val="28"/>
          <w:highlight w:val="white"/>
        </w:rPr>
        <w:t>38 и 39 н</w:t>
      </w:r>
      <w:r>
        <w:rPr>
          <w:rFonts w:ascii="Times New Roman" w:hAnsi="Times New Roman"/>
          <w:sz w:val="28"/>
        </w:rPr>
        <w:t>астоящего</w:t>
      </w:r>
      <w:r>
        <w:rPr>
          <w:rFonts w:ascii="Times New Roman" w:hAnsi="Times New Roman"/>
          <w:sz w:val="28"/>
          <w:highlight w:val="white"/>
        </w:rPr>
        <w:t xml:space="preserve"> Порядка в сроки, указанные в объявлении.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  <w:highlight w:val="white"/>
        </w:rPr>
        <w:t>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AC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  <w:highlight w:val="white"/>
        </w:rPr>
        <w:t>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A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A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их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A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42.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43. Заявка содержит следующие сведения и документы:</w:t>
      </w:r>
    </w:p>
    <w:p w14:paraId="B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информацию об участнике отбора и документы, подтверждающие соответствие участника отбора требованиям, установленным частью 7 настоящего Порядка:</w:t>
      </w:r>
    </w:p>
    <w:p w14:paraId="B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B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B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B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B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</w:t>
      </w:r>
      <w:r>
        <w:rPr>
          <w:rFonts w:ascii="Times New Roman" w:hAnsi="Times New Roman"/>
          <w:sz w:val="28"/>
        </w:rPr>
        <w:t>органа, лица, исполняющего функции единоличного исполнительного органа (для юридических лиц);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соглашения.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отчет (отчеты) о фактически недополученных доходах за отчетный период (отчетные периоды), согласованный с Региональной службой в порядке, установленном частью 35 настоящего Порядка.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Внесение изменений в заявку или отзыв заявки осуществляется участником отбора в соответствии с частями 45 и 46 настоящего Порядка.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Участник отбора, подавший заявку, вправе отозвать заявку.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заявки не препятствует повторному обращению участника отбора для участия в отборе, но не позднее даты и времени окончания приема заявок, предусмотренных в объявлении.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38 настоящего Порядка.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47.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  <w:highlight w:val="white"/>
        </w:rPr>
        <w:t>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47 настоящег</w:t>
      </w:r>
      <w:r>
        <w:rPr>
          <w:rFonts w:ascii="Times New Roman" w:hAnsi="Times New Roman"/>
          <w:sz w:val="28"/>
          <w:highlight w:val="white"/>
        </w:rPr>
        <w:t xml:space="preserve"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</w:t>
      </w:r>
      <w:r>
        <w:rPr>
          <w:rFonts w:ascii="Times New Roman" w:hAnsi="Times New Roman"/>
          <w:sz w:val="28"/>
          <w:highlight w:val="white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  <w:highlight w:val="white"/>
        </w:rPr>
        <w:t>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  <w:highlight w:val="white"/>
        </w:rPr>
        <w:t xml:space="preserve">. Министерство,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 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субсидий;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лица;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  <w:r>
        <w:rPr>
          <w:rFonts w:ascii="Times New Roman" w:hAnsi="Times New Roman"/>
          <w:sz w:val="28"/>
        </w:rPr>
        <w:t xml:space="preserve"> 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51. Министерство в течение</w:t>
      </w:r>
      <w:r>
        <w:rPr>
          <w:rFonts w:ascii="Times New Roman" w:hAnsi="Times New Roman"/>
          <w:sz w:val="28"/>
        </w:rPr>
        <w:t xml:space="preserve"> 2 рабочих дней 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7 настоящего 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52.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2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2 рабочих дней со дня возврата ему заявки для доработки. 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D2000000">
      <w:pPr>
        <w:pStyle w:val="Style_9"/>
      </w:pPr>
      <w:r>
        <w:t>53.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D3000000">
      <w:pPr>
        <w:pStyle w:val="Style_9"/>
      </w:pPr>
      <w: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54.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55 настоящего Порядка.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55. На стадии рассмотрения заявки основаниями для отклонения заявки являются: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1) несоответствие участника отб</w:t>
      </w:r>
      <w:r>
        <w:rPr>
          <w:rFonts w:ascii="Times New Roman" w:hAnsi="Times New Roman"/>
          <w:sz w:val="28"/>
          <w:highlight w:val="white"/>
        </w:rPr>
        <w:t>ора категории участника отбора, установленной частью 5 настоящего Порядка и (или) требованиям, установленным частью 7 настоящего Порядка;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целях подтверждения соответствия требованиям, предусмотренным частью 7 на</w:t>
      </w:r>
      <w:r>
        <w:rPr>
          <w:rFonts w:ascii="Times New Roman" w:hAnsi="Times New Roman"/>
          <w:sz w:val="28"/>
          <w:highlight w:val="white"/>
        </w:rPr>
        <w:t>стоящего Порядка;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заявок;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представление участником отбора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8"/>
        </w:rPr>
        <w:t>документов, указанных в пункте 3 части 43 настоящего Порядка, принятых раннее Министерством к учету в полном объеме при предоставлении субсидии на основании иных нормативных правовых актов Камчатского края, а также на основании вступивших в законную силу решений судов на цели, установленные частью 1 настоящего Порядка.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56. По результатам рассмотрения заявок не позднее 1-го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57.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Отбор признается несостоявшимся в следующих случаях: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Ранжирование поступивших заявок осуществляется исходя из очередности их поступления.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Победителями отбора признаются участники отбора, включенные в рейтинг, сформированный Министерством по результатам ранжирования поступивших заявок. 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62.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64. Протокол подведения итогов отбора включает следующие сведения: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</w:t>
      </w:r>
      <w:r>
        <w:rPr>
          <w:rFonts w:ascii="Times New Roman" w:hAnsi="Times New Roman"/>
          <w:sz w:val="28"/>
        </w:rPr>
        <w:t xml:space="preserve"> (им) су</w:t>
      </w:r>
      <w:r>
        <w:rPr>
          <w:rFonts w:ascii="Times New Roman" w:hAnsi="Times New Roman"/>
          <w:sz w:val="28"/>
          <w:highlight w:val="white"/>
        </w:rPr>
        <w:t>бсидии.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65.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66.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 с соблюдением требований о защите государственной тайны. 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Заключение соглашения осуществляется в следующем порядке и сроки: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1) Министерство в течение 5</w:t>
      </w:r>
      <w:r>
        <w:rPr>
          <w:rFonts w:ascii="Times New Roman" w:hAnsi="Times New Roman"/>
          <w:sz w:val="28"/>
          <w:highlight w:val="white"/>
        </w:rPr>
        <w:t xml:space="preserve"> рабочих дней со дня формирования на едином портале протокола подведения итогов отбора в соответствии с частью 74 настоящего Порядка размещает проект соглашения в системе «Электронный бюджет»; 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2) участник отбора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</w:t>
      </w:r>
      <w:r>
        <w:rPr>
          <w:rFonts w:ascii="Times New Roman" w:hAnsi="Times New Roman"/>
          <w:sz w:val="28"/>
        </w:rPr>
        <w:t>бочих дней со дня размещения проекта соглашения на подписание в системе «Электронный бюджет», то такой победитель отбора признается уклонившимся от заключения соглашения;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3 рабочих дней со дня подписания участником отбора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</w:rPr>
        <w:t xml:space="preserve"> и регистрации в установленном порядке органами Федерального казначейства.</w:t>
      </w:r>
    </w:p>
    <w:p w14:paraId="F4000000">
      <w:pPr>
        <w:sectPr>
          <w:headerReference r:id="rId4" w:type="first"/>
          <w:headerReference r:id="rId1" w:type="default"/>
          <w:footerReference r:id="rId5" w:type="first"/>
          <w:footerReference r:id="rId2" w:type="default"/>
          <w:pgSz w:h="16848" w:orient="portrait" w:w="11908"/>
          <w:pgMar w:bottom="1134" w:footer="0" w:gutter="0" w:header="709" w:left="1417" w:right="850" w:top="1134"/>
          <w:pgNumType w:start="1"/>
          <w:titlePg/>
        </w:sectPr>
      </w:pPr>
    </w:p>
    <w:p w14:paraId="F5000000">
      <w:pPr>
        <w:spacing w:after="0" w:line="240" w:lineRule="auto"/>
        <w:ind w:firstLine="0" w:left="4110"/>
        <w:jc w:val="both"/>
      </w:pPr>
      <w:r>
        <w:rPr>
          <w:rFonts w:ascii="Times New Roman" w:hAnsi="Times New Roman"/>
          <w:sz w:val="28"/>
          <w:highlight w:val="white"/>
        </w:rPr>
        <w:t xml:space="preserve">Приложение 1 к Порядку </w:t>
      </w:r>
      <w:r>
        <w:rPr>
          <w:rFonts w:ascii="Times New Roman" w:hAnsi="Times New Roman"/>
          <w:spacing w:val="4"/>
          <w:sz w:val="28"/>
        </w:rPr>
        <w:t>предоставления в 2024 году из краевого бюджета за счет средств федерального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F6000000">
      <w:pPr>
        <w:spacing w:after="0" w:line="240" w:lineRule="auto"/>
        <w:ind w:firstLine="0" w:left="4110"/>
        <w:jc w:val="both"/>
      </w:pPr>
    </w:p>
    <w:p w14:paraId="F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14:paraId="F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фактических объемах полезного отпуска электрической энергии населению и приравненным к нему категориям потребителей в текущем финансовом году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 ________года</w:t>
      </w:r>
    </w:p>
    <w:p w14:paraId="FA000000">
      <w:pPr>
        <w:spacing w:after="0" w:line="240" w:lineRule="auto"/>
        <w:ind w:firstLine="0" w:left="354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(месяц, год)</w:t>
      </w:r>
    </w:p>
    <w:p w14:paraId="F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14:paraId="FC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14:paraId="F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учета НДС</w:t>
      </w: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1138"/>
        <w:gridCol w:w="1134"/>
        <w:gridCol w:w="1135"/>
        <w:gridCol w:w="1275"/>
        <w:gridCol w:w="853"/>
        <w:gridCol w:w="1134"/>
        <w:gridCol w:w="9"/>
        <w:gridCol w:w="1407"/>
        <w:gridCol w:w="9"/>
        <w:gridCol w:w="1319"/>
        <w:gridCol w:w="943"/>
        <w:gridCol w:w="11"/>
      </w:tblGrid>
      <w:t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потребителей (по местонахождению)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Уровень напряжения</w:t>
            </w:r>
          </w:p>
        </w:tc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Экономически обоснованный тариф, утвержденный постановлением РСТиЦ № ___ от ______, руб/1 кВтч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Сниженный тариф, утвержденный постановлением РСТиЦ № ___ от ________, руб/1 кВтч</w:t>
            </w:r>
          </w:p>
        </w:tc>
        <w:tc>
          <w:tcPr>
            <w:tcW w:type="dxa" w:w="567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Полезный отпуск электроэнергии 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Отпуск э/энергии, вКтч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Начислено по экономически обоснованному тарифу, утвержденному постановлением РСТиЦ № ___ от _______, руб</w:t>
            </w:r>
          </w:p>
        </w:tc>
        <w:tc>
          <w:tcPr>
            <w:tcW w:type="dxa" w:w="141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Начислено по сниженному тарифу, утвержденному постановлением РСТиЦ № ___ от _______, руб</w:t>
            </w:r>
          </w:p>
        </w:tc>
        <w:tc>
          <w:tcPr>
            <w:tcW w:type="dxa" w:w="22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компенсации на электроэнергию от применения сниженных тарифов, руб.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Размер компенсации тарифа за 1 кВтч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8=3-4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9=6-7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категории НАСЕЛЕНИЕ: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9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B010000">
      <w:pPr>
        <w:spacing w:line="240" w:lineRule="auto"/>
        <w:ind/>
        <w:jc w:val="center"/>
        <w:rPr>
          <w:rFonts w:ascii="Times New Roman" w:hAnsi="Times New Roman"/>
          <w:b w:val="1"/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37"/>
        <w:gridCol w:w="5000"/>
      </w:tblGrid>
      <w:tr>
        <w:tc>
          <w:tcPr>
            <w:tcW w:type="dxa" w:w="4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руководителя _______________________/ФИО/</w:t>
            </w:r>
          </w:p>
          <w:p w14:paraId="3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(подпись) </w:t>
            </w:r>
            <w:r>
              <w:rPr>
                <w:rFonts w:ascii="Times New Roman" w:hAnsi="Times New Roman"/>
                <w:sz w:val="24"/>
              </w:rPr>
              <w:t xml:space="preserve">                   МП</w:t>
            </w:r>
          </w:p>
        </w:tc>
        <w:tc>
          <w:tcPr>
            <w:tcW w:type="dxa" w:w="50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Региональной службы по тарифам и ценам Камчатского края</w:t>
            </w:r>
          </w:p>
          <w:p w14:paraId="3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 /ФИО/</w:t>
            </w:r>
          </w:p>
          <w:p w14:paraId="4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</w:rPr>
              <w:t xml:space="preserve">(подпись) </w:t>
            </w:r>
            <w:r>
              <w:rPr>
                <w:rFonts w:ascii="Times New Roman" w:hAnsi="Times New Roman"/>
                <w:sz w:val="24"/>
              </w:rPr>
              <w:t xml:space="preserve">                МП</w:t>
            </w:r>
          </w:p>
        </w:tc>
      </w:tr>
    </w:tbl>
    <w:p w14:paraId="41010000">
      <w:pPr>
        <w:spacing w:line="240" w:lineRule="auto"/>
        <w:ind w:firstLine="0" w:left="4536"/>
        <w:jc w:val="both"/>
      </w:pPr>
      <w:r>
        <w:br w:type="page"/>
      </w:r>
      <w:r>
        <w:rPr>
          <w:rFonts w:ascii="Times New Roman" w:hAnsi="Times New Roman"/>
          <w:sz w:val="28"/>
          <w:highlight w:val="white"/>
        </w:rPr>
        <w:t xml:space="preserve">Приложение 2 к Порядку </w:t>
      </w:r>
      <w:r>
        <w:rPr>
          <w:rFonts w:ascii="Times New Roman" w:hAnsi="Times New Roman"/>
          <w:spacing w:val="4"/>
          <w:sz w:val="28"/>
        </w:rPr>
        <w:t>предоставления в 2024 году из краевого бюджета за счет средств федерального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42010000">
      <w:pPr>
        <w:spacing w:line="240" w:lineRule="auto"/>
        <w:ind w:firstLine="0" w:left="4252"/>
        <w:jc w:val="both"/>
      </w:pPr>
    </w:p>
    <w:tbl>
      <w:tblPr>
        <w:tblStyle w:val="Style_5"/>
        <w:tblInd w:type="dxa" w:w="-30"/>
        <w:tblLayout w:type="fixed"/>
        <w:tblCellMar>
          <w:left w:type="dxa" w:w="30"/>
          <w:right w:type="dxa" w:w="30"/>
        </w:tblCellMar>
      </w:tblPr>
      <w:tblGrid>
        <w:gridCol w:w="2443"/>
        <w:gridCol w:w="2386"/>
        <w:gridCol w:w="2451"/>
        <w:gridCol w:w="2332"/>
      </w:tblGrid>
      <w:tr>
        <w:trPr>
          <w:trHeight w:hRule="atLeast" w:val="660"/>
        </w:trPr>
        <w:tc>
          <w:tcPr>
            <w:tcW w:type="dxa" w:w="9612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Справка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об обязательствах Министерства жилищно-коммунального хозяйства и энергетики Камчатского края перед получателем субсидии</w:t>
            </w:r>
          </w:p>
        </w:tc>
      </w:tr>
      <w:tr>
        <w:trPr>
          <w:trHeight w:hRule="atLeast" w:val="502"/>
        </w:trPr>
        <w:tc>
          <w:tcPr>
            <w:tcW w:type="dxa" w:w="9612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_________________________________________________________________________-</w:t>
            </w:r>
          </w:p>
        </w:tc>
      </w:tr>
      <w:tr>
        <w:trPr>
          <w:trHeight w:hRule="atLeast" w:val="239"/>
        </w:trPr>
        <w:tc>
          <w:tcPr>
            <w:tcW w:type="dxa" w:w="9612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получателя субсидии)</w:t>
            </w:r>
          </w:p>
        </w:tc>
      </w:tr>
      <w:tr>
        <w:trPr>
          <w:trHeight w:hRule="atLeast" w:val="969"/>
        </w:trPr>
        <w:tc>
          <w:tcPr>
            <w:tcW w:type="dxa" w:w="9612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отношении расчетов по предоставленным на основании иных нормативных правовых актов Камчатского края субсидиям </w:t>
            </w:r>
            <w:r>
              <w:rPr>
                <w:rFonts w:ascii="Times New Roman" w:hAnsi="Times New Roman"/>
                <w:spacing w:val="4"/>
                <w:sz w:val="28"/>
              </w:rPr>
              <w:t>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      </w:r>
          </w:p>
        </w:tc>
      </w:tr>
      <w:tr>
        <w:trPr>
          <w:trHeight w:hRule="atLeast" w:val="645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 (месяц 2024 года)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8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Начислено, руб.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Оплачено, руб.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задолженности, руб.</w:t>
            </w:r>
          </w:p>
        </w:tc>
      </w:tr>
    </w:tbl>
    <w:p w14:paraId="4B010000">
      <w:pPr>
        <w:spacing w:after="0"/>
        <w:ind/>
        <w:rPr>
          <w:sz w:val="2"/>
        </w:rPr>
      </w:pPr>
    </w:p>
    <w:tbl>
      <w:tblPr>
        <w:tblStyle w:val="Style_5"/>
        <w:tblInd w:type="dxa" w:w="-35"/>
        <w:tblLayout w:type="fixed"/>
        <w:tblCellMar>
          <w:left w:type="dxa" w:w="30"/>
          <w:right w:type="dxa" w:w="30"/>
        </w:tblCellMar>
      </w:tblPr>
      <w:tblGrid>
        <w:gridCol w:w="30"/>
        <w:gridCol w:w="2413"/>
        <w:gridCol w:w="30"/>
        <w:gridCol w:w="2356"/>
        <w:gridCol w:w="30"/>
        <w:gridCol w:w="2421"/>
        <w:gridCol w:w="30"/>
        <w:gridCol w:w="2302"/>
        <w:gridCol w:w="30"/>
      </w:tblGrid>
      <w:tr>
        <w:trPr>
          <w:trHeight w:hRule="atLeast" w:val="254"/>
          <w:tblHeader/>
        </w:trPr>
        <w:tc>
          <w:tcPr>
            <w:tcW w:type="dxa" w:w="30"/>
            <w:tcMar>
              <w:left w:type="dxa" w:w="30"/>
              <w:right w:type="dxa" w:w="30"/>
            </w:tcMar>
          </w:tcPr>
          <w:p/>
        </w:tc>
        <w:tc>
          <w:tcPr>
            <w:tcW w:type="dxa" w:w="24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0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3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1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4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5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8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9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C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D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0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1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4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8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9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C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D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0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1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4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5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403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8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9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526"/>
        </w:trPr>
        <w:tc>
          <w:tcPr>
            <w:tcW w:type="dxa" w:w="244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10000">
            <w:pPr>
              <w:widowControl w:val="0"/>
              <w:spacing w:after="0"/>
              <w:ind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2024 год</w:t>
            </w:r>
          </w:p>
        </w:tc>
        <w:tc>
          <w:tcPr>
            <w:tcW w:type="dxa" w:w="238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D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51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3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0"/>
            <w:tcMar>
              <w:left w:type="dxa" w:w="30"/>
              <w:right w:type="dxa" w:w="30"/>
            </w:tcMar>
          </w:tcPr>
          <w:p/>
        </w:tc>
      </w:tr>
    </w:tbl>
    <w:p w14:paraId="80010000">
      <w:pPr>
        <w:spacing w:line="240" w:lineRule="auto"/>
        <w:ind/>
        <w:jc w:val="both"/>
      </w:pPr>
    </w:p>
    <w:tbl>
      <w:tblPr>
        <w:tblStyle w:val="Style_5"/>
        <w:tblInd w:type="dxa" w:w="103"/>
        <w:tblLayout w:type="fixed"/>
      </w:tblPr>
      <w:tblGrid>
        <w:gridCol w:w="497"/>
        <w:gridCol w:w="3619"/>
        <w:gridCol w:w="382"/>
        <w:gridCol w:w="2193"/>
        <w:gridCol w:w="897"/>
        <w:gridCol w:w="919"/>
        <w:gridCol w:w="1031"/>
      </w:tblGrid>
      <w:tr>
        <w:trPr>
          <w:trHeight w:hRule="atLeast" w:val="635"/>
        </w:trPr>
        <w:tc>
          <w:tcPr>
            <w:tcW w:type="dxa" w:w="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Предприятие:</w:t>
            </w:r>
          </w:p>
        </w:tc>
        <w:tc>
          <w:tcPr>
            <w:tcW w:type="dxa" w:w="3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4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rPr>
          <w:trHeight w:hRule="atLeast" w:val="309"/>
        </w:trPr>
        <w:tc>
          <w:tcPr>
            <w:tcW w:type="dxa" w:w="4116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type="dxa" w:w="3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9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449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  <w:tc>
          <w:tcPr>
            <w:tcW w:type="dxa" w:w="504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</w:tr>
      <w:tr>
        <w:trPr>
          <w:trHeight w:hRule="atLeast" w:val="309"/>
        </w:trPr>
        <w:tc>
          <w:tcPr>
            <w:tcW w:type="dxa" w:w="449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руководителя)</w:t>
            </w:r>
          </w:p>
        </w:tc>
        <w:tc>
          <w:tcPr>
            <w:tcW w:type="dxa" w:w="504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руководителя)</w:t>
            </w:r>
          </w:p>
        </w:tc>
      </w:tr>
      <w:tr>
        <w:trPr>
          <w:trHeight w:hRule="exact" w:val="309"/>
        </w:trPr>
        <w:tc>
          <w:tcPr>
            <w:tcW w:type="dxa" w:w="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6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09"/>
        </w:trPr>
        <w:tc>
          <w:tcPr>
            <w:tcW w:type="dxa" w:w="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01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18"/>
              </w:rPr>
              <w:t>___________________________(подпись)</w:t>
            </w:r>
          </w:p>
        </w:tc>
        <w:tc>
          <w:tcPr>
            <w:tcW w:type="dxa" w:w="504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18"/>
              </w:rPr>
              <w:t>______________________(подпись)</w:t>
            </w:r>
          </w:p>
        </w:tc>
      </w:tr>
      <w:tr>
        <w:trPr>
          <w:trHeight w:hRule="exact" w:val="309"/>
        </w:trPr>
        <w:tc>
          <w:tcPr>
            <w:tcW w:type="dxa" w:w="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6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type="dxa" w:w="3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type="dxa" w:w="8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</w:tbl>
    <w:p w14:paraId="9E010000">
      <w:pPr>
        <w:spacing w:line="240" w:lineRule="auto"/>
        <w:ind/>
        <w:jc w:val="both"/>
      </w:pPr>
    </w:p>
    <w:sectPr>
      <w:headerReference r:id="rId3" w:type="default"/>
      <w:pgSz w:h="16848" w:orient="portrait" w:w="11908"/>
      <w:pgMar w:bottom="1134" w:footer="0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bookmarkStart w:id="1" w:name="_GoBack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  <w:p w14:paraId="02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2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4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2"/>
    <w:next w:val="Style_4"/>
    <w:link w:val="Style_11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4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4"/>
    <w:link w:val="Style_1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51"/>
    <w:link w:val="Style_16_ch"/>
    <w:rPr>
      <w:rFonts w:ascii="XO Thames" w:hAnsi="XO Thames"/>
      <w:b w:val="1"/>
    </w:rPr>
  </w:style>
  <w:style w:styleId="Style_16_ch" w:type="character">
    <w:name w:val="Заголовок 51"/>
    <w:link w:val="Style_16"/>
    <w:rPr>
      <w:rFonts w:ascii="XO Thames" w:hAnsi="XO Thames"/>
      <w:b w:val="1"/>
    </w:rPr>
  </w:style>
  <w:style w:styleId="Style_2" w:type="paragraph">
    <w:name w:val="Стиль1"/>
    <w:link w:val="Style_2_ch"/>
    <w:pPr>
      <w:spacing w:after="160" w:line="264" w:lineRule="auto"/>
      <w:ind/>
    </w:pPr>
    <w:rPr>
      <w:rFonts w:ascii="Times New Roman" w:hAnsi="Times New Roman"/>
      <w:sz w:val="28"/>
    </w:rPr>
  </w:style>
  <w:style w:styleId="Style_2_ch" w:type="character">
    <w:name w:val="Стиль1"/>
    <w:link w:val="Style_2"/>
    <w:rPr>
      <w:rFonts w:ascii="Times New Roman" w:hAnsi="Times New Roman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Plain Text"/>
    <w:basedOn w:val="Style_4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4_ch"/>
    <w:link w:val="Style_19"/>
    <w:rPr>
      <w:rFonts w:ascii="Calibri" w:hAnsi="Calibri"/>
    </w:rPr>
  </w:style>
  <w:style w:styleId="Style_18" w:type="paragraph">
    <w:name w:val="Body Text"/>
    <w:basedOn w:val="Style_4"/>
    <w:link w:val="Style_18_ch"/>
    <w:pPr>
      <w:spacing w:after="140" w:line="276" w:lineRule="auto"/>
      <w:ind/>
    </w:pPr>
  </w:style>
  <w:style w:styleId="Style_18_ch" w:type="character">
    <w:name w:val="Body Text"/>
    <w:basedOn w:val="Style_4_ch"/>
    <w:link w:val="Style_18"/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Верхний колонтитул1"/>
    <w:basedOn w:val="Style_7"/>
    <w:link w:val="Style_21_ch"/>
    <w:rPr>
      <w:rFonts w:asciiTheme="minorAscii" w:hAnsiTheme="minorHAnsi"/>
      <w:color w:val="000000"/>
      <w:spacing w:val="0"/>
      <w:sz w:val="22"/>
    </w:rPr>
  </w:style>
  <w:style w:styleId="Style_21_ch" w:type="character">
    <w:name w:val="Верхний колонтитул1"/>
    <w:basedOn w:val="Style_7_ch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Нижний колонтитул1"/>
    <w:basedOn w:val="Style_7"/>
    <w:link w:val="Style_22_ch"/>
    <w:rPr>
      <w:rFonts w:ascii="Times New Roman" w:hAnsi="Times New Roman"/>
      <w:color w:val="000000"/>
      <w:spacing w:val="0"/>
      <w:sz w:val="28"/>
    </w:rPr>
  </w:style>
  <w:style w:styleId="Style_22_ch" w:type="character">
    <w:name w:val="Нижний колонтитул1"/>
    <w:basedOn w:val="Style_7_ch"/>
    <w:link w:val="Style_22"/>
    <w:rPr>
      <w:rFonts w:ascii="Times New Roman" w:hAnsi="Times New Roman"/>
      <w:color w:val="000000"/>
      <w:spacing w:val="0"/>
      <w:sz w:val="28"/>
    </w:rPr>
  </w:style>
  <w:style w:styleId="Style_23" w:type="paragraph">
    <w:name w:val="toc 3"/>
    <w:next w:val="Style_4"/>
    <w:link w:val="Style_2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Колонтитул"/>
    <w:link w:val="Style_24_ch"/>
    <w:pPr>
      <w:spacing w:after="160"/>
      <w:ind/>
      <w:jc w:val="both"/>
    </w:pPr>
    <w:rPr>
      <w:rFonts w:ascii="XO Thames" w:hAnsi="XO Thames"/>
      <w:sz w:val="20"/>
    </w:rPr>
  </w:style>
  <w:style w:styleId="Style_24_ch" w:type="character">
    <w:name w:val="Колонтитул"/>
    <w:link w:val="Style_24"/>
    <w:rPr>
      <w:rFonts w:ascii="XO Thames" w:hAnsi="XO Thames"/>
      <w:sz w:val="20"/>
    </w:rPr>
  </w:style>
  <w:style w:styleId="Style_25" w:type="paragraph">
    <w:name w:val="Contents 8"/>
    <w:link w:val="Style_25_ch"/>
    <w:rPr>
      <w:rFonts w:ascii="XO Thames" w:hAnsi="XO Thames"/>
      <w:sz w:val="28"/>
    </w:rPr>
  </w:style>
  <w:style w:styleId="Style_25_ch" w:type="character">
    <w:name w:val="Contents 8"/>
    <w:link w:val="Style_25"/>
    <w:rPr>
      <w:rFonts w:ascii="XO Thames" w:hAnsi="XO Thames"/>
      <w:sz w:val="28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Contents 1"/>
    <w:link w:val="Style_27_ch"/>
    <w:rPr>
      <w:rFonts w:ascii="XO Thames" w:hAnsi="XO Thames"/>
      <w:b w:val="1"/>
      <w:sz w:val="28"/>
    </w:rPr>
  </w:style>
  <w:style w:styleId="Style_27_ch" w:type="character">
    <w:name w:val="Contents 1"/>
    <w:link w:val="Style_27"/>
    <w:rPr>
      <w:rFonts w:ascii="XO Thames" w:hAnsi="XO Thames"/>
      <w:b w:val="1"/>
      <w:sz w:val="28"/>
    </w:rPr>
  </w:style>
  <w:style w:styleId="Style_28" w:type="paragraph">
    <w:name w:val="Заголовок 31"/>
    <w:link w:val="Style_28_ch"/>
    <w:rPr>
      <w:rFonts w:ascii="XO Thames" w:hAnsi="XO Thames"/>
      <w:b w:val="1"/>
      <w:color w:val="000000"/>
      <w:spacing w:val="0"/>
      <w:sz w:val="26"/>
    </w:rPr>
  </w:style>
  <w:style w:styleId="Style_28_ch" w:type="character">
    <w:name w:val="Заголовок 31"/>
    <w:link w:val="Style_28"/>
    <w:rPr>
      <w:rFonts w:ascii="XO Thames" w:hAnsi="XO Thames"/>
      <w:b w:val="1"/>
      <w:color w:val="000000"/>
      <w:spacing w:val="0"/>
      <w:sz w:val="26"/>
    </w:rPr>
  </w:style>
  <w:style w:styleId="Style_29" w:type="paragraph">
    <w:name w:val="Internet link"/>
    <w:link w:val="Style_2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29_ch" w:type="character">
    <w:name w:val="Internet link"/>
    <w:link w:val="Style_29"/>
    <w:rPr>
      <w:rFonts w:ascii="Calibri" w:hAnsi="Calibri"/>
      <w:color w:val="0000FF"/>
      <w:u w:val="single"/>
    </w:rPr>
  </w:style>
  <w:style w:styleId="Style_30" w:type="paragraph">
    <w:name w:val="heading 5"/>
    <w:next w:val="Style_4"/>
    <w:link w:val="Style_30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caption"/>
    <w:basedOn w:val="Style_4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4_ch"/>
    <w:link w:val="Style_32"/>
    <w:rPr>
      <w:i w:val="1"/>
      <w:sz w:val="24"/>
    </w:rPr>
  </w:style>
  <w:style w:styleId="Style_33" w:type="paragraph">
    <w:name w:val="Заголовок"/>
    <w:basedOn w:val="Style_4"/>
    <w:next w:val="Style_18"/>
    <w:link w:val="Style_33_ch"/>
    <w:pPr>
      <w:keepNext w:val="1"/>
      <w:spacing w:after="120" w:before="240"/>
      <w:ind/>
    </w:pPr>
    <w:rPr>
      <w:rFonts w:ascii="Open Sans" w:hAnsi="Open Sans"/>
      <w:sz w:val="28"/>
    </w:rPr>
  </w:style>
  <w:style w:styleId="Style_33_ch" w:type="character">
    <w:name w:val="Заголовок"/>
    <w:basedOn w:val="Style_4_ch"/>
    <w:link w:val="Style_33"/>
    <w:rPr>
      <w:rFonts w:ascii="Open Sans" w:hAnsi="Open Sans"/>
      <w:sz w:val="28"/>
    </w:rPr>
  </w:style>
  <w:style w:styleId="Style_34" w:type="paragraph">
    <w:name w:val="index heading"/>
    <w:basedOn w:val="Style_4"/>
    <w:link w:val="Style_34_ch"/>
  </w:style>
  <w:style w:styleId="Style_34_ch" w:type="character">
    <w:name w:val="index heading"/>
    <w:basedOn w:val="Style_4_ch"/>
    <w:link w:val="Style_34"/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Основной шрифт абзаца1"/>
    <w:link w:val="Style_39_ch"/>
    <w:pPr>
      <w:spacing w:after="160" w:line="264" w:lineRule="auto"/>
      <w:ind/>
    </w:pPr>
  </w:style>
  <w:style w:styleId="Style_39_ch" w:type="character">
    <w:name w:val="Основной шрифт абзаца1"/>
    <w:link w:val="Style_39"/>
  </w:style>
  <w:style w:styleId="Style_40" w:type="paragraph">
    <w:name w:val="toc 1"/>
    <w:next w:val="Style_4"/>
    <w:link w:val="Style_40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Гиперссылка1"/>
    <w:basedOn w:val="Style_39"/>
    <w:link w:val="Style_41_ch"/>
    <w:rPr>
      <w:color w:themeColor="hyperlink" w:val="0563C1"/>
      <w:u w:val="single"/>
    </w:rPr>
  </w:style>
  <w:style w:styleId="Style_41_ch" w:type="character">
    <w:name w:val="Гиперссылка1"/>
    <w:basedOn w:val="Style_39_ch"/>
    <w:link w:val="Style_41"/>
    <w:rPr>
      <w:color w:themeColor="hyperlink" w:val="0563C1"/>
      <w:u w:val="single"/>
    </w:rPr>
  </w:style>
  <w:style w:styleId="Style_42" w:type="paragraph">
    <w:name w:val="Header and Footer"/>
    <w:link w:val="Style_42_ch"/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9" w:type="paragraph">
    <w:name w:val="Стиль2"/>
    <w:link w:val="Style_9_ch"/>
    <w:pPr>
      <w:ind w:firstLine="708" w:left="0"/>
      <w:jc w:val="both"/>
    </w:pPr>
    <w:rPr>
      <w:rFonts w:ascii="Times New Roman" w:hAnsi="Times New Roman"/>
      <w:sz w:val="28"/>
      <w:highlight w:val="white"/>
    </w:rPr>
  </w:style>
  <w:style w:styleId="Style_9_ch" w:type="character">
    <w:name w:val="Стиль2"/>
    <w:link w:val="Style_9"/>
    <w:rPr>
      <w:rFonts w:ascii="Times New Roman" w:hAnsi="Times New Roman"/>
      <w:sz w:val="28"/>
      <w:highlight w:val="white"/>
    </w:rPr>
  </w:style>
  <w:style w:styleId="Style_43" w:type="paragraph">
    <w:name w:val="Заголовок 41"/>
    <w:link w:val="Style_43_ch"/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Заголовок 41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toc 9"/>
    <w:next w:val="Style_4"/>
    <w:link w:val="Style_4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Содержимое врезки"/>
    <w:basedOn w:val="Style_4"/>
    <w:link w:val="Style_45_ch"/>
  </w:style>
  <w:style w:styleId="Style_45_ch" w:type="character">
    <w:name w:val="Содержимое врезки"/>
    <w:basedOn w:val="Style_4_ch"/>
    <w:link w:val="Style_45"/>
  </w:style>
  <w:style w:styleId="Style_46" w:type="paragraph">
    <w:name w:val="Contents 6"/>
    <w:link w:val="Style_46_ch"/>
    <w:rPr>
      <w:rFonts w:ascii="XO Thames" w:hAnsi="XO Thames"/>
      <w:sz w:val="28"/>
    </w:rPr>
  </w:style>
  <w:style w:styleId="Style_46_ch" w:type="character">
    <w:name w:val="Contents 6"/>
    <w:link w:val="Style_46"/>
    <w:rPr>
      <w:rFonts w:ascii="XO Thames" w:hAnsi="XO Thames"/>
      <w:sz w:val="28"/>
    </w:rPr>
  </w:style>
  <w:style w:styleId="Style_47" w:type="paragraph">
    <w:name w:val="Основной шрифт абзаца1"/>
    <w:link w:val="Style_47_ch"/>
    <w:pPr>
      <w:spacing w:after="160" w:line="264" w:lineRule="auto"/>
      <w:ind/>
    </w:pPr>
  </w:style>
  <w:style w:styleId="Style_47_ch" w:type="character">
    <w:name w:val="Основной шрифт абзаца1"/>
    <w:link w:val="Style_47"/>
  </w:style>
  <w:style w:styleId="Style_48" w:type="paragraph">
    <w:name w:val="Название1"/>
    <w:link w:val="Style_48_ch"/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Название1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3" w:type="paragraph">
    <w:name w:val="footer"/>
    <w:link w:val="Style_3_ch"/>
    <w:rPr>
      <w:rFonts w:ascii="Times New Roman" w:hAnsi="Times New Roman"/>
      <w:sz w:val="28"/>
    </w:rPr>
  </w:style>
  <w:style w:styleId="Style_3_ch" w:type="character">
    <w:name w:val="footer"/>
    <w:link w:val="Style_3"/>
    <w:rPr>
      <w:rFonts w:ascii="Times New Roman" w:hAnsi="Times New Roman"/>
      <w:sz w:val="28"/>
    </w:rPr>
  </w:style>
  <w:style w:styleId="Style_49" w:type="paragraph">
    <w:name w:val="toc 8"/>
    <w:next w:val="Style_4"/>
    <w:link w:val="Style_4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50" w:type="paragraph">
    <w:name w:val="Заголовок 21"/>
    <w:link w:val="Style_50_ch"/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Заголовок 2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Обычный1"/>
    <w:link w:val="Style_51_ch"/>
    <w:pPr>
      <w:spacing w:after="160" w:line="264" w:lineRule="auto"/>
      <w:ind/>
    </w:pPr>
  </w:style>
  <w:style w:styleId="Style_51_ch" w:type="character">
    <w:name w:val="Обычный1"/>
    <w:link w:val="Style_51"/>
  </w:style>
  <w:style w:styleId="Style_52" w:type="paragraph">
    <w:name w:val="toc 5"/>
    <w:next w:val="Style_4"/>
    <w:link w:val="Style_5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Contents 2"/>
    <w:link w:val="Style_54_ch"/>
    <w:rPr>
      <w:rFonts w:ascii="XO Thames" w:hAnsi="XO Thames"/>
      <w:sz w:val="28"/>
    </w:rPr>
  </w:style>
  <w:style w:styleId="Style_54_ch" w:type="character">
    <w:name w:val="Contents 2"/>
    <w:link w:val="Style_54"/>
    <w:rPr>
      <w:rFonts w:ascii="XO Thames" w:hAnsi="XO Thames"/>
      <w:sz w:val="28"/>
    </w:rPr>
  </w:style>
  <w:style w:styleId="Style_7" w:type="paragraph">
    <w:name w:val="Обычный1"/>
    <w:link w:val="Style_7_ch"/>
    <w:rPr>
      <w:rFonts w:asciiTheme="minorAscii" w:hAnsiTheme="minorHAnsi"/>
      <w:color w:val="000000"/>
      <w:spacing w:val="0"/>
      <w:sz w:val="22"/>
    </w:rPr>
  </w:style>
  <w:style w:styleId="Style_7_ch" w:type="character">
    <w:name w:val="Обычный1"/>
    <w:link w:val="Style_7"/>
    <w:rPr>
      <w:rFonts w:asciiTheme="minorAscii" w:hAnsiTheme="minorHAnsi"/>
      <w:color w:val="000000"/>
      <w:spacing w:val="0"/>
      <w:sz w:val="22"/>
    </w:rPr>
  </w:style>
  <w:style w:styleId="Style_55" w:type="paragraph">
    <w:name w:val="Subtitle"/>
    <w:next w:val="Style_4"/>
    <w:link w:val="Style_55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56" w:type="paragraph">
    <w:name w:val="Заголовок 11"/>
    <w:link w:val="Style_56_ch"/>
    <w:rPr>
      <w:rFonts w:ascii="XO Thames" w:hAnsi="XO Thames"/>
      <w:b w:val="1"/>
      <w:color w:val="000000"/>
      <w:spacing w:val="0"/>
      <w:sz w:val="32"/>
    </w:rPr>
  </w:style>
  <w:style w:styleId="Style_56_ch" w:type="character">
    <w:name w:val="Заголовок 11"/>
    <w:link w:val="Style_56"/>
    <w:rPr>
      <w:rFonts w:ascii="XO Thames" w:hAnsi="XO Thames"/>
      <w:b w:val="1"/>
      <w:color w:val="000000"/>
      <w:spacing w:val="0"/>
      <w:sz w:val="32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Title"/>
    <w:link w:val="Style_58_ch"/>
    <w:uiPriority w:val="10"/>
    <w:qFormat/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link w:val="Style_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Подзаголовок1"/>
    <w:link w:val="Style_61_ch"/>
    <w:rPr>
      <w:rFonts w:ascii="XO Thames" w:hAnsi="XO Thames"/>
      <w:i w:val="1"/>
      <w:sz w:val="24"/>
    </w:rPr>
  </w:style>
  <w:style w:styleId="Style_61_ch" w:type="character">
    <w:name w:val="Подзаголовок1"/>
    <w:link w:val="Style_61"/>
    <w:rPr>
      <w:rFonts w:ascii="XO Thames" w:hAnsi="XO Thames"/>
      <w:i w:val="1"/>
      <w:sz w:val="24"/>
    </w:rPr>
  </w:style>
  <w:style w:styleId="Style_62" w:type="table">
    <w:name w:val="Сетка таблицы1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2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jpeg" Type="http://schemas.openxmlformats.org/officeDocument/2006/relationships/image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2024-12-06T05:43:30Z</dcterms:modified>
</cp:coreProperties>
</file>