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9"/>
        <w:spacing w:before="0"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-14" y="0"/>
                    <wp:lineTo x="-14" y="20874"/>
                    <wp:lineTo x="20954" y="20874"/>
                    <wp:lineTo x="20954" y="0"/>
                    <wp:lineTo x="-14" y="0"/>
                  </wp:wrapPolygon>
                </wp:wrapTight>
                <wp:docPr id="1" name="Picture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2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fals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-64 0 -64 96639 97009 96639 97009 0 -64 0" stroked="false">
                <v:path textboxrect="0,0,0,0"/>
                <w10:wrap type="tight"/>
                <v:imagedata r:id="rId8" o:title=""/>
              </v:shape>
            </w:pict>
          </mc:Fallback>
        </mc:AlternateContent>
      </w:r>
      <w:r/>
    </w:p>
    <w:p>
      <w:pPr>
        <w:pStyle w:val="599"/>
        <w:jc w:val="center"/>
        <w:spacing w:before="0"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pStyle w:val="599"/>
        <w:jc w:val="center"/>
        <w:spacing w:before="0"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pStyle w:val="599"/>
        <w:spacing w:before="0"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pStyle w:val="599"/>
        <w:jc w:val="center"/>
        <w:spacing w:before="0"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pStyle w:val="599"/>
        <w:jc w:val="center"/>
        <w:spacing w:before="0"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pStyle w:val="599"/>
        <w:jc w:val="center"/>
        <w:spacing w:before="0"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pStyle w:val="599"/>
        <w:jc w:val="center"/>
        <w:spacing w:before="0"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pStyle w:val="599"/>
        <w:ind w:firstLine="709"/>
        <w:jc w:val="center"/>
        <w:spacing w:before="0"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599"/>
        <w:ind w:firstLine="709"/>
        <w:jc w:val="center"/>
        <w:spacing w:before="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/>
    </w:p>
    <w:tbl>
      <w:tblPr>
        <w:tblW w:w="4253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W w:w="4253" w:type="dxa"/>
            <w:textDirection w:val="lrTb"/>
            <w:noWrap w:val="false"/>
          </w:tcPr>
          <w:p>
            <w:pPr>
              <w:pStyle w:val="599"/>
              <w:ind w:left="142" w:hanging="142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W w:w="4253" w:type="dxa"/>
            <w:textDirection w:val="lrTb"/>
            <w:noWrap w:val="false"/>
          </w:tcPr>
          <w:p>
            <w:pPr>
              <w:pStyle w:val="599"/>
              <w:jc w:val="center"/>
              <w:spacing w:before="0"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W w:w="4253" w:type="dxa"/>
            <w:textDirection w:val="lrTb"/>
            <w:noWrap w:val="false"/>
          </w:tcPr>
          <w:p>
            <w:pPr>
              <w:pStyle w:val="599"/>
              <w:jc w:val="both"/>
              <w:spacing w:before="0"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pStyle w:val="599"/>
        <w:ind w:firstLine="709"/>
        <w:jc w:val="both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W w:w="9637" w:type="dxa"/>
        <w:tblInd w:w="-14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3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7" w:type="dxa"/>
            <w:textDirection w:val="lrTb"/>
            <w:noWrap w:val="false"/>
          </w:tcPr>
          <w:p>
            <w:pPr>
              <w:pStyle w:val="599"/>
              <w:ind w:left="0" w:right="0" w:firstLine="540"/>
              <w:jc w:val="center"/>
              <w:spacing w:before="0" w:after="0" w:line="288" w:lineRule="atLeast"/>
              <w:widowControl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О внесении изменений в постановление Правительства Камчатского края от 16.07.2020 № 278-П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4"/>
                <w:sz w:val="28"/>
                <w:szCs w:val="28"/>
                <w:lang w:val="ru-RU" w:eastAsia="ru-RU" w:bidi="ar-SA"/>
              </w:rPr>
              <w:t xml:space="preserve">Об утверждении Порядка предоставления из краевого бюджета субсидий предприятиям коммунального комплекса в целях возмещения не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4"/>
                <w:sz w:val="28"/>
                <w:szCs w:val="28"/>
                <w:lang w:val="ru-RU" w:eastAsia="ru-RU" w:bidi="ar-SA"/>
              </w:rPr>
              <w:t xml:space="preserve">дополученных доходов в связи с поставкой ими юридическим лицам и индивидуальным предпринимателям Камчатского края, осуществляющим деятельность в области отдыха и развлечений, в части эксплуатации аквапарков с общей площадью водной поверхности более 3 000 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4"/>
                <w:sz w:val="28"/>
                <w:szCs w:val="28"/>
                <w:vertAlign w:val="superscript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4"/>
                <w:sz w:val="28"/>
                <w:szCs w:val="28"/>
                <w:lang w:val="ru-RU" w:eastAsia="ru-RU" w:bidi="ar-SA"/>
              </w:rPr>
              <w:t xml:space="preserve"> тепловой энергии по льготным тарифа»</w:t>
            </w:r>
            <w:r/>
          </w:p>
        </w:tc>
      </w:tr>
    </w:tbl>
    <w:p>
      <w:pPr>
        <w:pStyle w:val="599"/>
        <w:ind w:firstLine="709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599"/>
        <w:ind w:firstLine="0"/>
        <w:jc w:val="both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599"/>
        <w:ind w:firstLine="709"/>
        <w:jc w:val="both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/>
    </w:p>
    <w:p>
      <w:pPr>
        <w:pStyle w:val="599"/>
        <w:ind w:firstLine="709"/>
        <w:jc w:val="both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Внести в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постановление Правительства Камчатского края </w:t>
        <w:br/>
        <w:t xml:space="preserve">от 16.07.2020 № 278-П «</w:t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Об утверждении Порядка предоставления из краевого бюджета субсидий предприятиям коммунального комплекса в целях возмещения не</w:t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дополученных доходов в связи с поставкой ими юридическим лицам и индивидуальным предпринимателям Камчатского края, осуществляющим деятельность в области отдыха и развлечений, в части эксплуатации аквапарков с общей площадью водной поверхности более 3 000 м</w:t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 тепловой энергии по льготным тарифа»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следующие изменения:</w:t>
      </w:r>
      <w:r/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1) наименование изложить в следующей редакции:</w:t>
      </w:r>
      <w:r/>
    </w:p>
    <w:p>
      <w:pPr>
        <w:pStyle w:val="599"/>
        <w:ind w:firstLine="709"/>
        <w:jc w:val="center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Об утверждении Порядка предоставления из краевого бюджета субсидии на возмещени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е недополученных доходов в связи с поставкой юридическим лицам и индивидуальным предпринимателям Камчатского края, осуществляющим деятельность в области отдыха и развлечений, в части эксплуатации аквапарков с общей площадью водной поверхности более 3 000 м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, тепловой энергии по льготным тарифам, и проведения отбора получателей субсидии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»;</w:t>
      </w:r>
      <w:r/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2) преамбулу изложить в следующей редакции:</w:t>
      </w:r>
      <w:r/>
    </w:p>
    <w:p>
      <w:pPr>
        <w:pStyle w:val="599"/>
        <w:ind w:firstLine="709"/>
        <w:jc w:val="both"/>
        <w:spacing w:before="0"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/>
          <w:sz w:val="28"/>
        </w:rPr>
        <w:t xml:space="preserve">В соответствии с подпунктом 2 пункта 2 статьи 78, абзацем вторым пункта 4 статьи 78</w:t>
      </w:r>
      <w:r>
        <w:rPr>
          <w:rFonts w:ascii="Times New Roman" w:hAnsi="Times New Roman"/>
          <w:sz w:val="28"/>
          <w:vertAlign w:val="superscript"/>
        </w:rPr>
        <w:t xml:space="preserve">5</w:t>
      </w:r>
      <w:r>
        <w:rPr>
          <w:rFonts w:ascii="Times New Roman" w:hAnsi="Times New Roman"/>
          <w:sz w:val="28"/>
        </w:rPr>
        <w:t xml:space="preserve"> Бюджетного кодекса Российской Федерац</w:t>
      </w:r>
      <w:r>
        <w:rPr>
          <w:rFonts w:ascii="Times New Roman" w:hAnsi="Times New Roman"/>
          <w:sz w:val="28"/>
        </w:rPr>
        <w:t xml:space="preserve">ии,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</w:t>
      </w:r>
      <w:r>
        <w:rPr>
          <w:rFonts w:ascii="Times New Roman" w:hAnsi="Times New Roman"/>
          <w:sz w:val="28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субсидий»;</w:t>
      </w:r>
      <w:r/>
    </w:p>
    <w:p>
      <w:pPr>
        <w:pStyle w:val="599"/>
        <w:ind w:firstLine="709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3) часть 1 изложить в следующей редакции:</w:t>
      </w:r>
      <w:r/>
    </w:p>
    <w:p>
      <w:pPr>
        <w:pStyle w:val="599"/>
        <w:ind w:firstLine="709"/>
        <w:jc w:val="both"/>
        <w:spacing w:before="0"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«2.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Утвердить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Порядок предоставления из краевого бюджета субсидии на возмещение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недополученных доходов в связи с поставкой юридическим лицам и индивидуальным предпринимателям Камчатского края, осуществляющим деятельность в области отдыха и развлечений, в части эксплуатации аквапарков с общей площадью водной поверхности более </w:t>
        <w:br/>
        <w:t xml:space="preserve">3 000 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, тепловой энергии по льготным тарифам, и проведения отбора получателей субсидии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.».</w:t>
      </w:r>
      <w:r/>
    </w:p>
    <w:p>
      <w:pPr>
        <w:pStyle w:val="599"/>
        <w:ind w:firstLine="709"/>
        <w:jc w:val="both"/>
        <w:spacing w:before="0"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2. Приложение изложить в редакции согласно приложению к настоящему постановлению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2145" w:leader="none"/>
          <w:tab w:val="left" w:pos="2340" w:leader="none"/>
        </w:tabs>
      </w:pPr>
      <w:r>
        <w:rPr>
          <w:rFonts w:ascii="Times New Roman" w:hAnsi="Times New Roman"/>
          <w:sz w:val="28"/>
        </w:rPr>
        <w:t xml:space="preserve">3. Установить, что предоставление отчетности, осуществление контроля (мониторинга) за соблюдением условий и порядка предоставления субсидии и применение ответственности за их нарушение в отношении субсидии, предоставленной в соответствии с Порядком </w:t>
      </w:r>
      <w:r>
        <w:rPr>
          <w:rFonts w:ascii="Times New Roman" w:hAnsi="Times New Roman" w:eastAsia="Times New Roman" w:cs="Times New Roman"/>
          <w:spacing w:val="4"/>
          <w:sz w:val="28"/>
          <w:szCs w:val="28"/>
          <w:lang w:eastAsia="ru-RU"/>
        </w:rPr>
        <w:t xml:space="preserve">предоставления из краевого бюджета субсидий предприятиям коммунального комплекса в целях возмещения недополученных доходов в связи с поставк</w:t>
      </w:r>
      <w:r>
        <w:rPr>
          <w:rFonts w:ascii="Times New Roman" w:hAnsi="Times New Roman" w:eastAsia="Times New Roman" w:cs="Times New Roman"/>
          <w:spacing w:val="4"/>
          <w:sz w:val="28"/>
          <w:szCs w:val="28"/>
          <w:lang w:eastAsia="ru-RU"/>
        </w:rPr>
        <w:t xml:space="preserve">ой ими юридическим лицам и индивидуальным предпринимателям Камчатского края, осуществляющим деятельность в области отдыха и развлечений, в части эксплуатации аквапарков с общей площадью водной поверхности более 3 000 м2 тепловой энергии по льготным тарифам</w:t>
      </w:r>
      <w:r>
        <w:rPr>
          <w:rFonts w:ascii="Times New Roman" w:hAnsi="Times New Roman"/>
          <w:sz w:val="28"/>
        </w:rPr>
        <w:t xml:space="preserve">, утвержденным постановлением Правительства Камчатского края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16.07.2020 № 278-П</w:t>
      </w:r>
      <w:r>
        <w:rPr>
          <w:rFonts w:ascii="Times New Roman" w:hAnsi="Times New Roman"/>
          <w:sz w:val="28"/>
        </w:rPr>
        <w:t xml:space="preserve"> (в редакции, действовавшей до дня вступления в силу настоящего постановления), осуществляются в соответствии с положениями указанного Порядка (в редакции, действовавшей до дня вступления в силу настоящего постановления).</w:t>
      </w:r>
      <w:r/>
    </w:p>
    <w:p>
      <w:pPr>
        <w:pStyle w:val="599"/>
        <w:ind w:left="0" w:firstLine="709"/>
        <w:jc w:val="both"/>
        <w:spacing w:before="0" w:after="0" w:line="240" w:lineRule="auto"/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  <w:highlight w:val="white"/>
        </w:rPr>
        <w:t xml:space="preserve">Настоящее постановление вступает в силу после дня его официального опубликования.</w:t>
      </w:r>
      <w:r/>
    </w:p>
    <w:p>
      <w:pPr>
        <w:pStyle w:val="599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pStyle w:val="599"/>
        <w:ind w:firstLine="0"/>
        <w:jc w:val="both"/>
        <w:spacing w:before="0"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599"/>
        <w:ind w:firstLine="709"/>
        <w:jc w:val="both"/>
        <w:spacing w:before="0"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W w:w="9671" w:type="dxa"/>
        <w:tblInd w:w="-34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578"/>
        <w:gridCol w:w="3543"/>
        <w:gridCol w:w="2550"/>
      </w:tblGrid>
      <w:tr>
        <w:trPr>
          <w:trHeight w:val="2220"/>
        </w:trPr>
        <w:tc>
          <w:tcPr>
            <w:shd w:val="clear" w:color="auto" w:fill="auto"/>
            <w:tcW w:w="3578" w:type="dxa"/>
            <w:textDirection w:val="lrTb"/>
            <w:noWrap w:val="false"/>
          </w:tcPr>
          <w:p>
            <w:pPr>
              <w:pStyle w:val="599"/>
              <w:ind w:left="30" w:right="27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Камчатского края</w:t>
            </w:r>
            <w:r/>
          </w:p>
          <w:p>
            <w:pPr>
              <w:pStyle w:val="599"/>
              <w:ind w:left="30" w:right="27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pStyle w:val="599"/>
              <w:ind w:left="3" w:hanging="3"/>
              <w:spacing w:before="0" w:after="0" w:line="240" w:lineRule="auto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1"/>
            <w:r/>
            <w:r/>
          </w:p>
          <w:p>
            <w:pPr>
              <w:pStyle w:val="599"/>
              <w:ind w:left="142" w:hanging="142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W w:w="2550" w:type="dxa"/>
            <w:textDirection w:val="lrTb"/>
            <w:noWrap w:val="false"/>
          </w:tcPr>
          <w:p>
            <w:pPr>
              <w:pStyle w:val="599"/>
              <w:ind w:right="135"/>
              <w:jc w:val="right"/>
              <w:spacing w:before="0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  <w:p>
            <w:pPr>
              <w:pStyle w:val="599"/>
              <w:jc w:val="righ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</w:t>
            </w:r>
            <w:r/>
          </w:p>
        </w:tc>
      </w:tr>
    </w:tbl>
    <w:p>
      <w:pPr>
        <w:pStyle w:val="599"/>
        <w:ind w:firstLine="709"/>
        <w:jc w:val="both"/>
        <w:spacing w:before="0"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599"/>
      </w:pPr>
      <w:r/>
      <w:r>
        <w:br w:type="page" w:clear="all"/>
      </w:r>
      <w:r/>
    </w:p>
    <w:tbl>
      <w:tblPr>
        <w:tblW w:w="963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"/>
        <w:gridCol w:w="480"/>
        <w:gridCol w:w="480"/>
        <w:gridCol w:w="3661"/>
        <w:gridCol w:w="480"/>
        <w:gridCol w:w="1870"/>
        <w:gridCol w:w="486"/>
        <w:gridCol w:w="169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9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pageBreakBefore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pStyle w:val="599"/>
              <w:ind w:left="8079" w:hanging="8079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  <w:t xml:space="preserve">Приложение </w:t>
            </w:r>
            <w:bookmarkStart w:id="2" w:name="_GoBack"/>
            <w:r/>
            <w:bookmarkEnd w:id="2"/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  <w:t xml:space="preserve">к постановлению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9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pStyle w:val="599"/>
              <w:ind w:left="8079" w:hanging="8079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  <w:t xml:space="preserve">Правительства Камчатского края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9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  <w:t xml:space="preserve">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ffffff" w:themeColor="background1"/>
                <w:sz w:val="28"/>
                <w:szCs w:val="20"/>
                <w:lang w:val="ru-RU" w:eastAsia="ru-RU" w:bidi="ar-SA"/>
              </w:rPr>
              <w:t xml:space="preserve">[R</w:t>
            </w:r>
            <w:r>
              <w:rPr>
                <w:rFonts w:ascii="Times New Roman" w:hAnsi="Times New Roman" w:eastAsia="Times New Roman" w:cs="Times New Roman"/>
                <w:color w:val="ffffff" w:themeColor="background1"/>
                <w:sz w:val="16"/>
                <w:szCs w:val="20"/>
                <w:lang w:val="ru-RU" w:eastAsia="ru-RU" w:bidi="ar-SA"/>
              </w:rPr>
              <w:t xml:space="preserve">EGDATESTAMP]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lang w:val="ru-RU" w:eastAsia="ru-RU" w:bidi="ar-SA"/>
              </w:rPr>
              <w:t xml:space="preserve">№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99" w:type="dxa"/>
            <w:textDirection w:val="lrTb"/>
            <w:noWrap w:val="false"/>
          </w:tcPr>
          <w:p>
            <w:pPr>
              <w:pStyle w:val="599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 w:eastAsia="Times New Roman" w:cs="Times New Roman"/>
                <w:color w:val="ffffff" w:themeColor="background1"/>
                <w:sz w:val="28"/>
                <w:szCs w:val="20"/>
                <w:lang w:val="ru-RU" w:eastAsia="ru-RU" w:bidi="ar-SA"/>
              </w:rPr>
              <w:t xml:space="preserve">[R</w:t>
            </w:r>
            <w:r>
              <w:rPr>
                <w:rFonts w:ascii="Times New Roman" w:hAnsi="Times New Roman" w:eastAsia="Times New Roman" w:cs="Times New Roman"/>
                <w:color w:val="ffffff" w:themeColor="background1"/>
                <w:sz w:val="16"/>
                <w:szCs w:val="20"/>
                <w:lang w:val="ru-RU" w:eastAsia="ru-RU" w:bidi="ar-SA"/>
              </w:rPr>
              <w:t xml:space="preserve">EGNUMSTAMP]</w:t>
            </w:r>
            <w:r/>
          </w:p>
        </w:tc>
      </w:tr>
    </w:tbl>
    <w:p>
      <w:pPr>
        <w:pStyle w:val="599"/>
      </w:pPr>
      <w:r/>
      <w:r/>
    </w:p>
    <w:p>
      <w:pPr>
        <w:pStyle w:val="599"/>
        <w:ind w:left="5244" w:firstLine="0"/>
        <w:spacing w:before="0" w:after="0" w:line="240" w:lineRule="auto"/>
      </w:pPr>
      <w:r>
        <w:rPr>
          <w:rFonts w:ascii="Times New Roman" w:hAnsi="Times New Roman"/>
          <w:sz w:val="28"/>
        </w:rPr>
        <w:t xml:space="preserve">«Приложение к постановлению</w:t>
      </w:r>
      <w:r/>
    </w:p>
    <w:p>
      <w:pPr>
        <w:pStyle w:val="599"/>
        <w:ind w:left="5244" w:firstLine="0"/>
        <w:spacing w:before="0" w:after="0" w:line="240" w:lineRule="auto"/>
      </w:pPr>
      <w:r>
        <w:rPr>
          <w:rFonts w:ascii="Times New Roman" w:hAnsi="Times New Roman"/>
          <w:sz w:val="28"/>
        </w:rPr>
        <w:t xml:space="preserve">Правительства Камчатского края</w:t>
      </w:r>
      <w:r/>
    </w:p>
    <w:p>
      <w:pPr>
        <w:pStyle w:val="599"/>
        <w:ind w:left="5244" w:firstLine="0"/>
        <w:spacing w:before="0" w:after="0" w:line="240" w:lineRule="auto"/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от 16.07.2020 № 278-П</w:t>
      </w:r>
      <w:r/>
    </w:p>
    <w:p>
      <w:pPr>
        <w:pStyle w:val="599"/>
        <w:jc w:val="center"/>
        <w:spacing w:before="0" w:after="0" w:line="240" w:lineRule="auto"/>
        <w:widowControl w:val="off"/>
      </w:pPr>
      <w:r/>
      <w:r/>
    </w:p>
    <w:p>
      <w:pPr>
        <w:pStyle w:val="599"/>
        <w:spacing w:before="0" w:after="0" w:line="240" w:lineRule="auto"/>
        <w:widowControl w:val="off"/>
      </w:pPr>
      <w:r/>
      <w:r/>
    </w:p>
    <w:p>
      <w:pPr>
        <w:pStyle w:val="599"/>
        <w:jc w:val="center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Порядок предоставления из краевого бюджета субсидии на во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змещение недополученных доходов в связи с поставкой юридическим лицам и индивидуальным предпринимателям Камчатского края, осуществляющим деятельность в области отдыха и развлечений, в части эксплуатации аквапарков с общей площадью водной поверхности более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3 000 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, тепловой энергии по льготным тарифам, и проведения отбора получателей субсидии</w:t>
      </w:r>
      <w:r/>
    </w:p>
    <w:p>
      <w:pPr>
        <w:pStyle w:val="599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/>
      <w:r/>
    </w:p>
    <w:p>
      <w:pPr>
        <w:pStyle w:val="599"/>
        <w:jc w:val="center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1. Общие положения 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/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1.  Настоящий Порядок регламентирует предоставление из краевого бю</w:t>
      </w:r>
      <w:r>
        <w:rPr>
          <w:rFonts w:ascii="Times New Roman" w:hAnsi="Times New Roman"/>
          <w:sz w:val="28"/>
          <w:szCs w:val="28"/>
        </w:rPr>
        <w:t xml:space="preserve">джета субсидий предприятиям коммунального комплекса в целях решения задачи по улучшению условий хозяйственной деятельности предприятий в рамках направления по возмещению недополученных доходов в связи с тарифным регулированием в коммунальной сфере государс</w:t>
      </w:r>
      <w:r>
        <w:rPr>
          <w:rFonts w:ascii="Times New Roman" w:hAnsi="Times New Roman"/>
          <w:sz w:val="28"/>
          <w:szCs w:val="28"/>
        </w:rPr>
        <w:t xml:space="preserve">твенной программы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утвержденной постановлением Правительства Камчатского края от 23.01.202</w:t>
      </w:r>
      <w:r>
        <w:rPr>
          <w:rFonts w:ascii="Times New Roman" w:hAnsi="Times New Roman"/>
          <w:sz w:val="28"/>
          <w:szCs w:val="28"/>
        </w:rPr>
        <w:t xml:space="preserve">4 № 17-П (далее – Государственная программа), реализуемой в рамках структурного элемента паспорта Государственной программы – комплекса процессных мероприятий «Системные меры по обеспечению реализации тарифной политики в отношении прочих потребителей комму</w:t>
      </w:r>
      <w:r>
        <w:rPr>
          <w:rFonts w:ascii="Times New Roman" w:hAnsi="Times New Roman"/>
          <w:sz w:val="28"/>
          <w:szCs w:val="28"/>
        </w:rPr>
        <w:t xml:space="preserve">нальных услуг», утвержденного в государственной интегрированной информационной системе управления общественными финансами «Электронный бюджет», на возмещение недополученных доходов в связи с поставкой ими юридическим лицам и индивидуальным предпринимателям</w:t>
      </w:r>
      <w:r>
        <w:rPr>
          <w:rFonts w:ascii="Times New Roman" w:hAnsi="Times New Roman"/>
          <w:sz w:val="28"/>
          <w:szCs w:val="28"/>
        </w:rPr>
        <w:t xml:space="preserve"> Камчатского края, осуществляющим деятельность в области отдыха и развлечений, в части эксплуатации аквапарков с общей площадью водной поверхности более 3 000 м2 тепловой энергии по льготным тарифам (далее соответственно – субсидия, недополученные доходы).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2. Министерство жилищно-коммунального хозяйства и энергетики Камчатского края (далее – Министерство) осуществляет функции главного распорядителя бюджетных средст</w:t>
      </w:r>
      <w:r>
        <w:rPr>
          <w:rFonts w:ascii="Times New Roman" w:hAnsi="Times New Roman"/>
          <w:sz w:val="28"/>
          <w:szCs w:val="28"/>
        </w:rPr>
        <w:t xml:space="preserve">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период.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Субсидия предоставляется Министерством в период решения задачи </w:t>
      </w:r>
      <w:r>
        <w:rPr>
          <w:rFonts w:ascii="Times New Roman" w:hAnsi="Times New Roman"/>
          <w:sz w:val="28"/>
          <w:szCs w:val="28"/>
        </w:rPr>
        <w:t xml:space="preserve">по улучшению условий хозяйственной деятельности предприятий в рамках направления по возмещению недополученных доходов в связи с тарифным регулированием в коммунальной сфере</w:t>
      </w:r>
      <w:r>
        <w:rPr>
          <w:rFonts w:ascii="Times New Roman" w:hAnsi="Times New Roman"/>
          <w:sz w:val="28"/>
          <w:szCs w:val="28"/>
        </w:rPr>
        <w:t xml:space="preserve"> Государственной программы в пределах лимитов бюджетных обязательств, доведенных в установленном порядке до Министерства.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  <w:highlight w:val="white"/>
        </w:rPr>
        <w:t xml:space="preserve">. Способ предоставления субсидий – возмещение недополученных доходов.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Fonts w:ascii="Times New Roman" w:hAnsi="Times New Roman"/>
          <w:sz w:val="28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. 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соответственно – сеть «Интернет», единый портал)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(в разделе единого портала) в порядке, установленном Министерством финансов Российской Федерации.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/>
      <w:r/>
    </w:p>
    <w:p>
      <w:pPr>
        <w:pStyle w:val="599"/>
        <w:ind w:left="0" w:firstLine="709"/>
        <w:jc w:val="center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2. Иные положения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/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5</w:t>
      </w:r>
      <w:r>
        <w:rPr>
          <w:rFonts w:ascii="Times New Roman" w:hAnsi="Times New Roman"/>
          <w:sz w:val="28"/>
          <w:highlight w:val="white"/>
        </w:rPr>
        <w:t xml:space="preserve">. К категории получателей субсидии (участников отбора) относятся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предприятия коммунального комплекса – юридические лица (за исключением государственных (муниципальных) учреждений), индивидуаль</w:t>
      </w:r>
      <w:r>
        <w:rPr>
          <w:rFonts w:ascii="Times New Roman" w:hAnsi="Times New Roman" w:cs="Times New Roman"/>
          <w:sz w:val="28"/>
          <w:szCs w:val="28"/>
        </w:rPr>
        <w:t xml:space="preserve">ные предприниматели, осуществляющие поставку юридическим лицам и индивидуальным предпринимателям Камчатского края, осуществляющим деятельность в области отдыха и развлечений, в части эксплуатации аквапарков с общей площадью водной поверхности более 3 000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тепловой энергии по льготным тарифам</w:t>
      </w:r>
      <w:r>
        <w:rPr>
          <w:rFonts w:ascii="Times New Roman" w:hAnsi="Times New Roman"/>
          <w:sz w:val="28"/>
          <w:highlight w:val="white"/>
        </w:rPr>
        <w:t xml:space="preserve"> (далее</w:t>
      </w:r>
      <w:r>
        <w:rPr>
          <w:rFonts w:ascii="Times New Roman" w:hAnsi="Times New Roman"/>
          <w:sz w:val="28"/>
        </w:rPr>
        <w:t xml:space="preserve"> – у</w:t>
      </w:r>
      <w:r>
        <w:rPr>
          <w:rFonts w:ascii="Times New Roman" w:hAnsi="Times New Roman"/>
          <w:sz w:val="28"/>
          <w:highlight w:val="white"/>
        </w:rPr>
        <w:t xml:space="preserve">частники отбора, получатели субсидии).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b/>
          <w:bCs/>
          <w:highlight w:val="white"/>
        </w:rPr>
      </w:pPr>
      <w:r>
        <w:rPr>
          <w:rFonts w:ascii="Times New Roman" w:hAnsi="Times New Roman"/>
          <w:sz w:val="28"/>
        </w:rPr>
        <w:t xml:space="preserve">6. Субсидия предоставляется на </w:t>
      </w:r>
      <w:r>
        <w:rPr>
          <w:rFonts w:ascii="Times New Roman" w:hAnsi="Times New Roman"/>
          <w:sz w:val="28"/>
          <w:highlight w:val="white"/>
        </w:rPr>
        <w:t xml:space="preserve">возмещение недополученных доходов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 w:val="0"/>
          <w:bCs w:val="0"/>
          <w:sz w:val="28"/>
        </w:rPr>
        <w:t xml:space="preserve">возникших в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связи с оказанием потребителям коммунальных услуг по льготным тари</w:t>
      </w:r>
      <w:r>
        <w:rPr>
          <w:rFonts w:ascii="Times New Roman" w:hAnsi="Times New Roman"/>
          <w:sz w:val="28"/>
          <w:szCs w:val="28"/>
          <w:highlight w:val="white"/>
        </w:rPr>
        <w:t xml:space="preserve">фам.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highlight w:val="white"/>
        </w:rPr>
      </w:pPr>
      <w:r>
        <w:rPr>
          <w:rStyle w:val="632"/>
          <w:rFonts w:ascii="Times New Roman" w:hAnsi="Times New Roman"/>
          <w:sz w:val="28"/>
          <w:highlight w:val="white"/>
        </w:rPr>
        <w:t xml:space="preserve">7. Условием предоставления субсидии является соответствие получателя субсидии на даты рассмотрения заявки на участие в отборе и заключения соглашения о предоставлении субсидии (далее соответственно – заявка, соглашение), следующим требованиям: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Fonts w:ascii="Times New Roman" w:hAnsi="Times New Roman"/>
          <w:sz w:val="28"/>
        </w:rPr>
        <w:t xml:space="preserve">1)</w:t>
        <w:tab/>
      </w:r>
      <w:r>
        <w:rPr>
          <w:rStyle w:val="632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</w:t>
      </w:r>
      <w:r>
        <w:rPr>
          <w:rFonts w:ascii="Times New Roman" w:hAnsi="Times New Roman"/>
          <w:sz w:val="28"/>
          <w:highlight w:val="white"/>
        </w:rPr>
        <w:t xml:space="preserve">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</w:t>
      </w:r>
      <w:r>
        <w:rPr>
          <w:rFonts w:ascii="Times New Roman" w:hAnsi="Times New Roman"/>
          <w:sz w:val="28"/>
          <w:highlight w:val="white"/>
        </w:rPr>
        <w:t xml:space="preserve">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</w:t>
      </w:r>
      <w:r>
        <w:rPr>
          <w:rFonts w:ascii="Times New Roman" w:hAnsi="Times New Roman"/>
          <w:sz w:val="28"/>
          <w:highlight w:val="white"/>
        </w:rPr>
        <w:t xml:space="preserve">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</w:t>
      </w:r>
      <w:r>
        <w:rPr>
          <w:rFonts w:ascii="Times New Roman" w:hAnsi="Times New Roman"/>
          <w:sz w:val="28"/>
          <w:highlight w:val="white"/>
        </w:rPr>
        <w:t xml:space="preserve">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</w:t>
      </w:r>
      <w:r>
        <w:rPr>
          <w:rStyle w:val="632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</w:t>
      </w:r>
      <w:r>
        <w:rPr>
          <w:rStyle w:val="632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находится в составляемых в рамках реализации полномочий, предусмотренных главой VII Ус</w:t>
      </w:r>
      <w:r>
        <w:rPr>
          <w:rFonts w:ascii="Times New Roman" w:hAnsi="Times New Roman"/>
          <w:sz w:val="28"/>
          <w:highlight w:val="white"/>
        </w:rPr>
        <w:t xml:space="preserve">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</w:t>
      </w:r>
      <w:r>
        <w:rPr>
          <w:rStyle w:val="632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получает средства из краевого</w:t>
      </w:r>
      <w:r>
        <w:rPr>
          <w:rFonts w:ascii="Times New Roman" w:hAnsi="Times New Roman"/>
          <w:sz w:val="28"/>
        </w:rPr>
        <w:t xml:space="preserve"> бюджета на о</w:t>
      </w:r>
      <w:r>
        <w:rPr>
          <w:rFonts w:ascii="Times New Roman" w:hAnsi="Times New Roman"/>
          <w:sz w:val="28"/>
          <w:highlight w:val="white"/>
        </w:rPr>
        <w:t xml:space="preserve">сновании иных нормативных правовых актов Камчатского края и муниципальных правовых актов на цели, установленные настоящим Порядком;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</w:t>
      </w:r>
      <w:r>
        <w:rPr>
          <w:rStyle w:val="632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является иностранным агентом в соответствии с Федеральным законом от 14.07.2022 № 255-ФЗ </w:t>
        <w:br/>
        <w:t xml:space="preserve">«О контроле за деятельностью лиц, находящихся под иностранным влиянием»;</w:t>
      </w:r>
      <w:r/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highlight w:val="white"/>
        </w:rPr>
      </w:pPr>
      <w:r>
        <w:rPr>
          <w:rFonts w:ascii="Times New Roman" w:hAnsi="Times New Roman"/>
          <w:sz w:val="28"/>
        </w:rPr>
        <w:t xml:space="preserve">6)</w:t>
      </w:r>
      <w:r>
        <w:rPr>
          <w:rFonts w:ascii="Times New Roman" w:hAnsi="Times New Roman" w:cs="Times New Roman"/>
          <w:sz w:val="28"/>
          <w:szCs w:val="28"/>
        </w:rPr>
        <w:t xml:space="preserve"> установление на текущий финансовый год Региональной службой по тарифам и ценам Камчатского края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(далее – Региональная служба):</w:t>
      </w:r>
      <w:r/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а)</w:t>
        <w:tab/>
        <w:t xml:space="preserve">льготного тарифа на тепловую энергию, поставляемую </w:t>
      </w:r>
      <w:r>
        <w:rPr>
          <w:rStyle w:val="632"/>
          <w:rFonts w:ascii="Times New Roman" w:hAnsi="Times New Roman"/>
          <w:sz w:val="28"/>
        </w:rPr>
        <w:t xml:space="preserve">получателем субсидии (участником отбора)</w:t>
      </w:r>
      <w:r>
        <w:rPr>
          <w:rFonts w:ascii="Times New Roman" w:hAnsi="Times New Roman" w:cs="Times New Roman"/>
          <w:sz w:val="28"/>
          <w:szCs w:val="28"/>
        </w:rPr>
        <w:t xml:space="preserve"> юридическим лицам и индивидуальным предпринимателям Камчатского края, осуществляющим деятельность в области отдыха и развлечений, в части эксплуатации аквапарков с общей площадью водной поверхности более 3 000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, включенным в Перечень юридических лиц и индивидуальных предпринимателей Камчатского края, которым предоставляется право на поставку тепловой энергии по льготным тарифам, утвержденный Правительством Камчатского края (дале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 – потребители);</w:t>
      </w:r>
      <w:r/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б)</w:t>
        <w:tab/>
        <w:t xml:space="preserve">экономически обоснованного тарифа на тепловую энергию, поставляемую </w:t>
      </w:r>
      <w:r>
        <w:rPr>
          <w:rStyle w:val="632"/>
          <w:rFonts w:ascii="Times New Roman" w:hAnsi="Times New Roman"/>
          <w:sz w:val="28"/>
        </w:rPr>
        <w:t xml:space="preserve">получателем субсидии (участником отбора)</w:t>
      </w:r>
      <w:r>
        <w:rPr>
          <w:rFonts w:ascii="Times New Roman" w:hAnsi="Times New Roman" w:cs="Times New Roman"/>
          <w:sz w:val="28"/>
          <w:szCs w:val="28"/>
        </w:rPr>
        <w:t xml:space="preserve"> потребителям на территории муниципального образования, на котором осуществляют деятельность потребители;</w:t>
      </w:r>
      <w:r/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7)</w:t>
        <w:tab/>
        <w:t xml:space="preserve">фактическое предоставление </w:t>
      </w:r>
      <w:r>
        <w:rPr>
          <w:rStyle w:val="632"/>
          <w:rFonts w:ascii="Times New Roman" w:hAnsi="Times New Roman"/>
          <w:sz w:val="28"/>
        </w:rPr>
        <w:t xml:space="preserve">получателем субсидии (участником отбора)</w:t>
      </w:r>
      <w:r>
        <w:rPr>
          <w:rFonts w:ascii="Times New Roman" w:hAnsi="Times New Roman" w:cs="Times New Roman"/>
          <w:sz w:val="28"/>
          <w:szCs w:val="28"/>
        </w:rPr>
        <w:t xml:space="preserve"> тепловой энергии потребителям по льготным тарифам.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Style w:val="632"/>
          <w:rFonts w:ascii="Times New Roman" w:hAnsi="Times New Roman"/>
          <w:sz w:val="28"/>
          <w:highlight w:val="white"/>
        </w:rPr>
        <w:t xml:space="preserve">8. По результатам отбора с победителем (поб</w:t>
      </w:r>
      <w:r>
        <w:rPr>
          <w:rStyle w:val="632"/>
          <w:rFonts w:ascii="Times New Roman" w:hAnsi="Times New Roman"/>
          <w:sz w:val="28"/>
          <w:highlight w:val="white"/>
        </w:rPr>
        <w:t xml:space="preserve">едителями) отбора</w:t>
        <w:br/>
        <w:t xml:space="preserve">заключается соглашение в государственной интегрированной информационной системе управления общественными финансами «Электронный бюджет» </w:t>
        <w:br/>
        <w:t xml:space="preserve">(далее – система «Электронный бюджет») в порядке и сроки, установленные частью 78 настоящего Порядка.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Style w:val="632"/>
          <w:rFonts w:ascii="Times New Roman" w:hAnsi="Times New Roman"/>
          <w:sz w:val="28"/>
          <w:highlight w:val="white"/>
        </w:rPr>
        <w:t xml:space="preserve">9. Соглашение, дополнительное соглашение, в том числе дополнительное соглашение о расторжении с</w:t>
      </w:r>
      <w:r>
        <w:rPr>
          <w:rStyle w:val="632"/>
          <w:rFonts w:ascii="Times New Roman" w:hAnsi="Times New Roman"/>
          <w:sz w:val="28"/>
        </w:rPr>
        <w:t xml:space="preserve">оглашения (при необходимости), заключаются в соответствии с типовыми формами, установленными Министерством финансов Камчатского края.</w:t>
      </w:r>
      <w:r/>
    </w:p>
    <w:p>
      <w:pPr>
        <w:pStyle w:val="599"/>
        <w:ind w:firstLine="708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Style w:val="632"/>
          <w:rFonts w:ascii="Times New Roman" w:hAnsi="Times New Roman"/>
          <w:sz w:val="28"/>
          <w:highlight w:val="white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 xml:space="preserve">Обязательными условиями предоставления субсидии, включаемыми в соглашение, являются: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 </w:t>
      </w:r>
      <w:r>
        <w:rPr>
          <w:rStyle w:val="632"/>
          <w:rFonts w:ascii="Times New Roman" w:hAnsi="Times New Roman"/>
          <w:sz w:val="28"/>
          <w:highlight w:val="white"/>
        </w:rPr>
        <w:t xml:space="preserve">в случае уменьшения Министерству ранее доведенных лимитов бюджетных обязательств на цель, указанную в части 1 настоящего П</w:t>
      </w:r>
      <w:r>
        <w:rPr>
          <w:rStyle w:val="632"/>
          <w:rFonts w:ascii="Times New Roman" w:hAnsi="Times New Roman"/>
          <w:sz w:val="28"/>
          <w:highlight w:val="white"/>
        </w:rPr>
        <w:t xml:space="preserve">орядка, приводящего к невозможности предоставления субсидии в размере, определенном в соглашении, Министерство осуществляет с получателем субсидии согласование новых условий соглашения или расторгает соглашение при недостижении согласия по новым условиям; </w:t>
      </w:r>
      <w:r/>
    </w:p>
    <w:p>
      <w:pPr>
        <w:pStyle w:val="599"/>
        <w:ind w:firstLine="709"/>
        <w:jc w:val="both"/>
        <w:spacing w:before="0" w:after="0" w:line="240" w:lineRule="auto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 согласие получателя субсидии </w:t>
      </w:r>
      <w:r>
        <w:rPr>
          <w:rStyle w:val="632"/>
          <w:rFonts w:ascii="Times New Roman" w:hAnsi="Times New Roman"/>
          <w:sz w:val="28"/>
          <w:highlight w:val="white"/>
        </w:rPr>
        <w:t xml:space="preserve">на осуществление </w:t>
      </w:r>
      <w:r>
        <w:rPr>
          <w:rStyle w:val="632"/>
          <w:rFonts w:ascii="Times New Roman" w:hAnsi="Times New Roman"/>
          <w:sz w:val="28"/>
          <w:highlight w:val="white"/>
        </w:rPr>
        <w:t xml:space="preserve">в отношении него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</w:t>
      </w:r>
      <w:r>
        <w:rPr>
          <w:rStyle w:val="632"/>
          <w:rFonts w:ascii="Times New Roman" w:hAnsi="Times New Roman"/>
          <w:sz w:val="28"/>
          <w:highlight w:val="white"/>
          <w:vertAlign w:val="superscript"/>
        </w:rPr>
        <w:t xml:space="preserve">1</w:t>
      </w:r>
      <w:r>
        <w:rPr>
          <w:rStyle w:val="632"/>
          <w:rFonts w:ascii="Times New Roman" w:hAnsi="Times New Roman"/>
          <w:sz w:val="28"/>
          <w:highlight w:val="white"/>
        </w:rPr>
        <w:t xml:space="preserve"> и 269</w:t>
      </w:r>
      <w:r>
        <w:rPr>
          <w:rStyle w:val="632"/>
          <w:rFonts w:ascii="Times New Roman" w:hAnsi="Times New Roman"/>
          <w:sz w:val="28"/>
          <w:highlight w:val="white"/>
          <w:vertAlign w:val="superscript"/>
        </w:rPr>
        <w:t xml:space="preserve">2</w:t>
      </w:r>
      <w:r>
        <w:rPr>
          <w:rStyle w:val="632"/>
          <w:rFonts w:ascii="Times New Roman" w:hAnsi="Times New Roman"/>
          <w:sz w:val="28"/>
          <w:highlight w:val="white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Style w:val="632"/>
          <w:rFonts w:ascii="Times New Roman" w:hAnsi="Times New Roman"/>
          <w:sz w:val="28"/>
        </w:rPr>
        <w:t xml:space="preserve">3</w:t>
      </w:r>
      <w:r>
        <w:rPr>
          <w:rStyle w:val="632"/>
          <w:rFonts w:ascii="Times New Roman" w:hAnsi="Times New Roman"/>
          <w:sz w:val="28"/>
          <w:highlight w:val="white"/>
        </w:rPr>
        <w:t xml:space="preserve">) принятие получателем субсидии обязательства о достижении результатов предоставления субсидии в соответствии с заключенным между Министерством и получателем субсидии соглашением; 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/>
          <w:szCs w:val="28"/>
          <w:highlight w:val="white"/>
        </w:rPr>
      </w:pPr>
      <w:r>
        <w:rPr>
          <w:rStyle w:val="632"/>
          <w:rFonts w:ascii="Times New Roman" w:hAnsi="Times New Roman"/>
          <w:sz w:val="28"/>
        </w:rPr>
        <w:t xml:space="preserve">4</w:t>
      </w:r>
      <w:r>
        <w:rPr>
          <w:rStyle w:val="632"/>
          <w:rFonts w:ascii="Times New Roman" w:hAnsi="Times New Roman"/>
          <w:sz w:val="28"/>
          <w:highlight w:val="white"/>
        </w:rPr>
        <w:t xml:space="preserve">) принятие получател</w:t>
      </w:r>
      <w:r>
        <w:rPr>
          <w:rStyle w:val="632"/>
          <w:rFonts w:ascii="Times New Roman" w:hAnsi="Times New Roman"/>
          <w:sz w:val="28"/>
        </w:rPr>
        <w:t xml:space="preserve">ем субсидии обязательства предоставления отчетности в сроки, указан</w:t>
      </w:r>
      <w:r>
        <w:rPr>
          <w:rStyle w:val="632"/>
          <w:rFonts w:ascii="Times New Roman" w:hAnsi="Times New Roman"/>
          <w:sz w:val="28"/>
          <w:highlight w:val="white"/>
        </w:rPr>
        <w:t xml:space="preserve">ные в части 25 настоящ</w:t>
      </w:r>
      <w:r>
        <w:rPr>
          <w:rStyle w:val="632"/>
          <w:rFonts w:ascii="Times New Roman" w:hAnsi="Times New Roman"/>
          <w:sz w:val="28"/>
        </w:rPr>
        <w:t xml:space="preserve">его Пор</w:t>
      </w:r>
      <w:r>
        <w:rPr>
          <w:rStyle w:val="632"/>
          <w:rFonts w:ascii="Times New Roman" w:hAnsi="Times New Roman"/>
          <w:sz w:val="28"/>
          <w:highlight w:val="white"/>
        </w:rPr>
        <w:t xml:space="preserve">ядка</w:t>
      </w:r>
      <w:r>
        <w:rPr>
          <w:rStyle w:val="632"/>
          <w:rFonts w:ascii="Times New Roman" w:hAnsi="Times New Roman"/>
          <w:sz w:val="28"/>
        </w:rPr>
        <w:t xml:space="preserve">.</w:t>
      </w:r>
      <w:r/>
    </w:p>
    <w:p>
      <w:pPr>
        <w:pStyle w:val="599"/>
        <w:ind w:left="0"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134" w:leader="none"/>
        </w:tabs>
      </w:pPr>
      <w:r>
        <w:rPr>
          <w:rFonts w:ascii="Times New Roman" w:hAnsi="Times New Roman"/>
          <w:sz w:val="28"/>
        </w:rPr>
        <w:t xml:space="preserve">11</w:t>
      </w:r>
      <w:r>
        <w:rPr>
          <w:rStyle w:val="632"/>
          <w:rFonts w:ascii="Times New Roman" w:hAnsi="Times New Roman"/>
          <w:sz w:val="28"/>
        </w:rPr>
        <w:t xml:space="preserve">. При реорганизации получателя субсидии, являющегося юридическим </w:t>
      </w:r>
      <w:r>
        <w:rPr>
          <w:rStyle w:val="632"/>
          <w:rFonts w:ascii="Times New Roman" w:hAnsi="Times New Roman"/>
          <w:sz w:val="28"/>
        </w:rPr>
        <w:t xml:space="preserve">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получателя субсидии с указанием в соглашении юридического лица, являющегося правопреемником. </w:t>
      </w:r>
      <w:r/>
    </w:p>
    <w:p>
      <w:pPr>
        <w:pStyle w:val="599"/>
        <w:ind w:left="0" w:firstLine="709"/>
        <w:jc w:val="both"/>
        <w:spacing w:before="0" w:after="0" w:line="240" w:lineRule="auto"/>
        <w:widowControl w:val="off"/>
        <w:tabs>
          <w:tab w:val="clear" w:pos="708" w:leader="none"/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Style w:val="632"/>
          <w:rFonts w:ascii="Times New Roman" w:hAnsi="Times New Roman"/>
          <w:sz w:val="28"/>
        </w:rPr>
        <w:t xml:space="preserve">При реорганизации получателя субсидии, являющегося юридическим лицом, в форме разделения, выделения, а также п</w:t>
      </w:r>
      <w:r>
        <w:rPr>
          <w:rStyle w:val="632"/>
          <w:rFonts w:ascii="Times New Roman" w:hAnsi="Times New Roman"/>
          <w:sz w:val="28"/>
        </w:rPr>
        <w:t xml:space="preserve">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</w:t>
      </w:r>
      <w:r>
        <w:rPr>
          <w:rStyle w:val="632"/>
          <w:rFonts w:ascii="Times New Roman" w:hAnsi="Times New Roman"/>
          <w:sz w:val="28"/>
        </w:rPr>
        <w:t xml:space="preserve">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краевой бюджет.</w:t>
      </w:r>
      <w:r/>
    </w:p>
    <w:p>
      <w:pPr>
        <w:pStyle w:val="599"/>
        <w:ind w:left="0" w:firstLine="709"/>
        <w:jc w:val="both"/>
        <w:spacing w:before="0" w:after="0" w:line="240" w:lineRule="auto"/>
        <w:widowControl w:val="off"/>
      </w:pPr>
      <w:r>
        <w:rPr>
          <w:rStyle w:val="632"/>
          <w:rFonts w:ascii="Times New Roman" w:hAnsi="Times New Roman"/>
          <w:sz w:val="28"/>
        </w:rPr>
        <w:t xml:space="preserve">12. Проверка получателей субсидии (участников отбора) проводится Министерством на соответствие требованиям, указанным в части 7 настоящего Порядка, и осуществляется автоматичес</w:t>
      </w:r>
      <w:r>
        <w:rPr>
          <w:rStyle w:val="632"/>
          <w:rFonts w:ascii="Times New Roman" w:hAnsi="Times New Roman"/>
          <w:sz w:val="28"/>
        </w:rPr>
        <w:t xml:space="preserve">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 в сроки, указанные в </w:t>
      </w:r>
      <w:r>
        <w:rPr>
          <w:rStyle w:val="632"/>
          <w:rFonts w:ascii="Times New Roman" w:hAnsi="Times New Roman"/>
          <w:sz w:val="28"/>
          <w:highlight w:val="white"/>
        </w:rPr>
        <w:t xml:space="preserve">части 61 настоящего Порядка.</w:t>
      </w:r>
      <w:r>
        <w:rPr>
          <w:highlight w:val="white"/>
        </w:rPr>
        <w:br/>
      </w:r>
      <w:r>
        <w:rPr>
          <w:rStyle w:val="632"/>
          <w:rFonts w:ascii="Times New Roman" w:hAnsi="Times New Roman"/>
          <w:sz w:val="28"/>
          <w:highlight w:val="white"/>
        </w:rPr>
        <w:tab/>
        <w:t xml:space="preserve">13. В случае если у Министерства отсутствует техническая возможно</w:t>
      </w:r>
      <w:r>
        <w:rPr>
          <w:rStyle w:val="632"/>
          <w:rFonts w:ascii="Times New Roman" w:hAnsi="Times New Roman"/>
          <w:sz w:val="28"/>
          <w:highlight w:val="white"/>
        </w:rPr>
        <w:t xml:space="preserve">сть осуществления автоматической проверки в системе «Электронный бюджет» получателя субсидии (участника отбора), установленным в части 7 настоящего Порядка требованиям, соответствующие сведения запрашиваются Министерством в сроки, указанные в части 61 наст</w:t>
      </w:r>
      <w:r>
        <w:rPr>
          <w:rStyle w:val="632"/>
          <w:rFonts w:ascii="Times New Roman" w:hAnsi="Times New Roman"/>
          <w:sz w:val="28"/>
        </w:rPr>
        <w:t xml:space="preserve">оящего Порядка, посредством межведомственного запроса и (или) путем использования общедоступной информации, размещенной на официальных ресурса</w:t>
      </w:r>
      <w:r>
        <w:rPr>
          <w:rStyle w:val="632"/>
          <w:rFonts w:ascii="Times New Roman" w:hAnsi="Times New Roman"/>
          <w:sz w:val="28"/>
        </w:rPr>
        <w:t xml:space="preserve">х исполнительных органов Камчатского края, других организаций,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</w:t>
      </w:r>
      <w:r>
        <w:rPr>
          <w:rStyle w:val="632"/>
          <w:rFonts w:ascii="Times New Roman" w:hAnsi="Times New Roman"/>
          <w:sz w:val="28"/>
        </w:rPr>
        <w:t xml:space="preserve">вия и (или) соответствие получателя субсидии (участника отбора) подтверждается путем проставления в электронном виде получателем субсидии (участником отбора) отметок о соответствии указанным требованиям посредством заполнения соответствующих экранных форм</w:t>
      </w:r>
      <w:r>
        <w:rPr>
          <w:rStyle w:val="632"/>
          <w:rFonts w:ascii="Times New Roman" w:hAnsi="Times New Roman"/>
          <w:sz w:val="28"/>
          <w:highlight w:val="white"/>
        </w:rPr>
        <w:t xml:space="preserve"> </w:t>
      </w:r>
      <w:r>
        <w:rPr>
          <w:rStyle w:val="632"/>
          <w:rFonts w:ascii="Times New Roman" w:hAnsi="Times New Roman"/>
          <w:sz w:val="28"/>
          <w:highlight w:val="white"/>
          <w:shd w:val="clear" w:color="auto" w:fill="81d41a"/>
        </w:rPr>
        <w:t xml:space="preserve">в</w:t>
      </w:r>
      <w:r>
        <w:rPr>
          <w:rStyle w:val="632"/>
          <w:rFonts w:ascii="Times New Roman" w:hAnsi="Times New Roman"/>
          <w:sz w:val="28"/>
          <w:highlight w:val="white"/>
        </w:rPr>
        <w:t xml:space="preserve"> </w:t>
      </w:r>
      <w:r>
        <w:rPr>
          <w:rStyle w:val="632"/>
          <w:rFonts w:ascii="Times New Roman" w:hAnsi="Times New Roman"/>
          <w:sz w:val="28"/>
        </w:rPr>
        <w:t xml:space="preserve">системе «Электронный бюджет».</w:t>
      </w:r>
      <w:r/>
    </w:p>
    <w:p>
      <w:pPr>
        <w:pStyle w:val="599"/>
        <w:ind w:left="0" w:firstLine="709"/>
        <w:jc w:val="both"/>
        <w:spacing w:before="0" w:after="0" w:line="240" w:lineRule="auto"/>
        <w:widowControl w:val="off"/>
      </w:pPr>
      <w:r>
        <w:rPr>
          <w:rStyle w:val="632"/>
          <w:rFonts w:ascii="Times New Roman" w:hAnsi="Times New Roman"/>
          <w:sz w:val="28"/>
        </w:rPr>
        <w:t xml:space="preserve">14. Министерство в целях подтверждения соответствия получателя субсидии (участни</w:t>
      </w:r>
      <w:r>
        <w:rPr>
          <w:rStyle w:val="632"/>
          <w:rFonts w:ascii="Times New Roman" w:hAnsi="Times New Roman"/>
          <w:sz w:val="28"/>
        </w:rPr>
        <w:t xml:space="preserve">ка отбора) установленным требованиям, указанным в части 7 настоящего Порядка, не вправе требовать от получателя субсидии (участника отбора) представления документов и информации при наличии соответствующей информации в государственных информационных систем</w:t>
      </w:r>
      <w:r>
        <w:rPr>
          <w:rStyle w:val="632"/>
          <w:rFonts w:ascii="Times New Roman" w:hAnsi="Times New Roman"/>
          <w:sz w:val="28"/>
        </w:rPr>
        <w:t xml:space="preserve">ах, доступ к которым у Министерства имеется в рамках межведомственного электронного взаимодействия, за исключением случая, если получатель субсидии (участник отбора) готов представить указанные документы и информацию Министерству по собственной инициативе.</w:t>
      </w:r>
      <w:r/>
    </w:p>
    <w:p>
      <w:pPr>
        <w:pStyle w:val="599"/>
        <w:ind w:left="0" w:firstLine="709"/>
        <w:jc w:val="both"/>
        <w:spacing w:before="0" w:after="0" w:line="240" w:lineRule="auto"/>
        <w:widowControl w:val="off"/>
      </w:pPr>
      <w:r>
        <w:rPr>
          <w:rFonts w:ascii="Times New Roman" w:hAnsi="Times New Roman"/>
          <w:sz w:val="28"/>
        </w:rPr>
        <w:t xml:space="preserve">15. После заключения соглашения для получения субсидии получатель субсидии </w:t>
      </w:r>
      <w:r>
        <w:rPr>
          <w:rFonts w:ascii="Times New Roman" w:hAnsi="Times New Roman" w:cs="Times New Roman"/>
          <w:sz w:val="28"/>
          <w:szCs w:val="28"/>
        </w:rPr>
        <w:t xml:space="preserve">ежемесячно, не позднее последнего рабочего дня месяца, следующего за отчетным месяцем, представляет в Министерство следующие документы:</w:t>
      </w:r>
      <w:r/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993" w:leader="none"/>
        </w:tabs>
        <w:rPr>
          <w:b/>
          <w:bCs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</w:t>
        <w:tab/>
        <w:t xml:space="preserve">заявку на предоставление субсидии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 </w:t>
      </w:r>
      <w:r/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127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2) расчет объема выпадающих доходов за отчетный месяц по форме, установленной Министерством;</w:t>
      </w:r>
      <w:r/>
    </w:p>
    <w:p>
      <w:pPr>
        <w:pStyle w:val="599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clear" w:pos="708" w:leader="none"/>
          <w:tab w:val="left" w:pos="1276" w:leader="none"/>
        </w:tabs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3) копию заверенного надлежащим обр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азом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de59"/>
        </w:rPr>
        <w:t xml:space="preserve">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:shd w:val="clear" w:color="auto" w:fill="81d41a"/>
        </w:rPr>
        <w:t xml:space="preserve">расчета к универсальном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:shd w:val="clear" w:color="ffffff" w:themeColor="background1" w:fill="ffffff" w:themeFill="background1"/>
        </w:rPr>
        <w:t xml:space="preserve">у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:shd w:val="clear" w:color="auto" w:fill="81d41a"/>
        </w:rPr>
        <w:t xml:space="preserve">передаточному документу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</w:rPr>
        <w:t xml:space="preserve">за отчетный месяц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</w:p>
    <w:p>
      <w:pPr>
        <w:pStyle w:val="599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clear" w:pos="708" w:leader="none"/>
          <w:tab w:val="left" w:pos="1276" w:leader="none"/>
        </w:tabs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4) копию заверенного надлежащим образом счета-фактуры, выставленного получателем субсидий потребителю за отчетный меся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ц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:shd w:val="clear" w:color="ffffff" w:themeColor="background1" w:fill="ffffff" w:themeFill="background1"/>
        </w:rPr>
        <w:t xml:space="preserve">, </w:t>
      </w:r>
      <w:r>
        <w:rPr>
          <w:rFonts w:ascii="Times New Roman" w:hAnsi="Times New Roman" w:cs="Times New Roman"/>
          <w:strike w:val="0"/>
          <w:sz w:val="28"/>
          <w:szCs w:val="28"/>
          <w:highlight w:val="white"/>
          <w:shd w:val="clear" w:color="auto" w:fill="81d41a"/>
        </w:rPr>
        <w:t xml:space="preserve">подписанного получателем субсидий и потребителем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</w:p>
    <w:p>
      <w:pPr>
        <w:pStyle w:val="599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clear" w:pos="708" w:leader="none"/>
          <w:tab w:val="left" w:pos="1276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5)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81d41a"/>
        </w:rPr>
        <w:t xml:space="preserve">копию заверенного надлежащим образом документ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81d41a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81d41a"/>
        </w:rPr>
        <w:t xml:space="preserve">, содержащ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81d41a"/>
        </w:rPr>
        <w:t xml:space="preserve">е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го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сведения о показаниях прибора учета потребления тепловой энергии за отчетный месяц, установленного на границе балансовой принадлежности получателя субсидии и потребителя.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16. </w:t>
      </w:r>
      <w:r>
        <w:rPr>
          <w:rFonts w:ascii="Times New Roman" w:hAnsi="Times New Roman"/>
          <w:sz w:val="28"/>
        </w:rPr>
        <w:t xml:space="preserve">Получатели субсидии имеют право подать документы, указанные в части 15 настоящего Порядка: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в электронном виде – на электронную почту по адресу: tek1@kamgov.ru, путем создания zip-архива;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на бумажном носителе.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17. Документы, представленные получателем субсидии, подлежат регис</w:t>
      </w:r>
      <w:r>
        <w:rPr>
          <w:rStyle w:val="632"/>
          <w:rFonts w:ascii="Times New Roman" w:hAnsi="Times New Roman"/>
          <w:sz w:val="28"/>
          <w:highlight w:val="white"/>
        </w:rPr>
        <w:t xml:space="preserve">трации в день поступления в Министерство.</w:t>
      </w:r>
      <w:r/>
    </w:p>
    <w:p>
      <w:pPr>
        <w:pStyle w:val="599"/>
        <w:ind w:left="0" w:firstLine="709"/>
        <w:jc w:val="both"/>
        <w:spacing w:before="0" w:after="0" w:line="240" w:lineRule="auto"/>
        <w:widowControl w:val="off"/>
      </w:pPr>
      <w:r>
        <w:rPr>
          <w:rFonts w:ascii="Times New Roman" w:hAnsi="Times New Roman"/>
          <w:sz w:val="28"/>
        </w:rPr>
        <w:t xml:space="preserve">18. Министерство в течение 10 рабочих дней со дня</w:t>
      </w:r>
      <w:r>
        <w:rPr>
          <w:rFonts w:ascii="Times New Roman" w:hAnsi="Times New Roman"/>
          <w:sz w:val="28"/>
        </w:rPr>
        <w:t xml:space="preserve"> регистрации документов, указанных в части 15 настоящего Порядка, рассматривает их, проверяет на полноту и достоверность содержащихся в них сведений, и принимает решение о предоставлении субсидии получателю субсидии или об отказе в предоставлении субсидии.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highlight w:val="white"/>
        </w:rPr>
      </w:pPr>
      <w:r>
        <w:rPr>
          <w:rStyle w:val="632"/>
          <w:rFonts w:ascii="Times New Roman" w:hAnsi="Times New Roman"/>
          <w:sz w:val="28"/>
          <w:highlight w:val="white"/>
        </w:rPr>
        <w:t xml:space="preserve">19. Основанием для отказа в предоставлении субсидии являются: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</w:rPr>
        <w:t xml:space="preserve">1) несоответствие представленных получателем субсидии (участником отбора) документов требованиям, установленным частью 15 настоящего Порядка, или непредставление (представление не в полном объеме) указанных документов;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</w:rPr>
        <w:t xml:space="preserve">2) установление факта недостоверности представленной получателем субсидии (участником отбора) информации;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</w:rPr>
        <w:t xml:space="preserve">3) представление получателем субсидии документов после даты, установленной частью 15 настоящего Порядка.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20. В случае принятия решения об отказе в предоставлении субсидии Министерство в течение 3 ра</w:t>
      </w:r>
      <w:r>
        <w:rPr>
          <w:rFonts w:ascii="Times New Roman" w:hAnsi="Times New Roman"/>
          <w:sz w:val="28"/>
          <w:highlight w:val="white"/>
        </w:rPr>
        <w:t xml:space="preserve">бочих дней после дня принятия такого решения, направляет получателю субсидии уведомление о принятом решении с обоснованием причин отказа посредством электронной связи, почтовым отправлением, нарочным или иным способом, обеспечивающим получение уведомления.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21. В случае принятия решения о предоставлении субсидии Министерство перечисляет субсидию не позднее 10-го рабочего дня, следующего за днем принятия Министерством решения о предоставлении субсидии в форме приказа.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5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Субсидия перечисляется на расчетный или корреспондентский счет, открытый получателем субсидии в учреждениях Центрального банка Российской</w:t>
      </w:r>
      <w:r>
        <w:rPr>
          <w:rStyle w:val="632"/>
          <w:rFonts w:ascii="Times New Roman" w:hAnsi="Times New Roman"/>
          <w:sz w:val="28"/>
          <w:highlight w:val="white"/>
        </w:rPr>
        <w:t xml:space="preserve"> Федерации или кредитных организациях, реквизиты которого указаны в соглашении, путем оформления и представления в территориальный орган Федерального казначейства платежного документа на перечисление субсидии в установленном порядке.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56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Style w:val="632"/>
          <w:rFonts w:ascii="Times New Roman" w:hAnsi="Times New Roman"/>
          <w:sz w:val="28"/>
          <w:highlight w:val="white"/>
        </w:rPr>
        <w:t xml:space="preserve">Перечисление субсидии осуществляется в пределах кассового плана по расходам краевого бюджета.</w:t>
      </w:r>
      <w:r/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1276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Перечисление субсидии получателю субсидии за декабрь текущего финансового года осуществляется Министерством в очередном финансовом году.</w:t>
      </w:r>
      <w:r/>
    </w:p>
    <w:p>
      <w:pPr>
        <w:pStyle w:val="690"/>
        <w:ind w:left="0" w:right="0" w:firstLine="709"/>
        <w:jc w:val="both"/>
        <w:tabs>
          <w:tab w:val="clear" w:pos="708" w:leader="none"/>
          <w:tab w:val="left" w:pos="1134" w:leader="none"/>
        </w:tabs>
        <w:rPr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22. Размер субсидии определяется как произведение разницы между экономически обоснованным и льготным тарифами (без НДС), уст</w:t>
      </w:r>
      <w:r>
        <w:rPr>
          <w:rFonts w:ascii="Times New Roman" w:hAnsi="Times New Roman" w:cs="Times New Roman"/>
          <w:sz w:val="28"/>
          <w:szCs w:val="28"/>
        </w:rPr>
        <w:t xml:space="preserve">ановленными для получателя субсидии Региональной службой, и фактического объема поставки тепловой энергии за отчетный месяц потребителям в соответствии с документами, представленными получателем субсидии в Министерство согласно части 15 настоящего Порядка.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23.  Результатом предоставления субсидии является объем поставки тепловой энергии по льготным тарифам потребителям в текущем финансовом году</w:t>
      </w:r>
      <w:r>
        <w:t xml:space="preserve">.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left" w:pos="567" w:leader="none"/>
          <w:tab w:val="clear" w:pos="708" w:leader="none"/>
        </w:tabs>
      </w:pPr>
      <w:r>
        <w:rPr>
          <w:rFonts w:ascii="Times New Roman" w:hAnsi="Times New Roman"/>
          <w:sz w:val="28"/>
          <w:highlight w:val="white"/>
        </w:rPr>
        <w:t xml:space="preserve">24. Значение результата предоставления субсидии устанавливается соглашением.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560" w:leader="none"/>
        </w:tabs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25. Получатель субсидии ежеквартально, не позднее 10-го числа второго месяца, следующего за отчетным кварталом</w:t>
      </w:r>
      <w:r>
        <w:rPr>
          <w:rStyle w:val="632"/>
          <w:rFonts w:ascii="Times New Roman" w:hAnsi="Times New Roman"/>
          <w:color w:val="000000" w:themeColor="text1"/>
          <w:sz w:val="28"/>
          <w:highlight w:val="white"/>
        </w:rPr>
        <w:t xml:space="preserve">, представл</w:t>
      </w:r>
      <w:r>
        <w:rPr>
          <w:rStyle w:val="632"/>
          <w:rFonts w:ascii="Times New Roman" w:hAnsi="Times New Roman"/>
          <w:sz w:val="28"/>
          <w:highlight w:val="white"/>
        </w:rPr>
        <w:t xml:space="preserve">яет в </w:t>
      </w:r>
      <w:r>
        <w:rPr>
          <w:rStyle w:val="632"/>
          <w:rFonts w:ascii="Times New Roman" w:hAnsi="Times New Roman"/>
          <w:sz w:val="28"/>
        </w:rPr>
        <w:t xml:space="preserve">систем</w:t>
      </w:r>
      <w:r>
        <w:rPr>
          <w:rStyle w:val="632"/>
          <w:rFonts w:ascii="Times New Roman" w:hAnsi="Times New Roman"/>
          <w:sz w:val="28"/>
          <w:highlight w:val="white"/>
        </w:rPr>
        <w:t xml:space="preserve">е «Электронный бюджет» </w:t>
      </w:r>
      <w:r>
        <w:rPr>
          <w:rFonts w:ascii="Times New Roman" w:hAnsi="Times New Roman" w:cs="Times New Roman"/>
          <w:sz w:val="28"/>
          <w:szCs w:val="28"/>
        </w:rPr>
        <w:t xml:space="preserve">отчет о достижении результатов предоставления субсидии по </w:t>
      </w:r>
      <w:r>
        <w:rPr>
          <w:rStyle w:val="632"/>
          <w:rFonts w:ascii="Times New Roman" w:hAnsi="Times New Roman"/>
          <w:sz w:val="28"/>
          <w:highlight w:val="white"/>
        </w:rPr>
        <w:t xml:space="preserve">форме, определенной типовыми формами соглашений, установленным</w:t>
      </w:r>
      <w:r>
        <w:rPr>
          <w:rStyle w:val="632"/>
          <w:rFonts w:ascii="Times New Roman" w:hAnsi="Times New Roman"/>
          <w:sz w:val="28"/>
        </w:rPr>
        <w:t xml:space="preserve"> Министерством финансов Камчатского края для соглаш</w:t>
      </w:r>
      <w:r>
        <w:rPr>
          <w:rStyle w:val="632"/>
          <w:rFonts w:ascii="Times New Roman" w:hAnsi="Times New Roman"/>
          <w:sz w:val="28"/>
          <w:highlight w:val="white"/>
        </w:rPr>
        <w:t xml:space="preserve">ения</w:t>
      </w:r>
      <w:r>
        <w:rPr>
          <w:rStyle w:val="632"/>
          <w:rFonts w:ascii="Times New Roman" w:hAnsi="Times New Roman"/>
          <w:sz w:val="28"/>
          <w:highlight w:val="white"/>
        </w:rPr>
        <w:t xml:space="preserve">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560" w:leader="none"/>
        </w:tabs>
      </w:pPr>
      <w:r>
        <w:rPr>
          <w:rStyle w:val="632"/>
          <w:rFonts w:ascii="Times New Roman" w:hAnsi="Times New Roman"/>
          <w:sz w:val="28"/>
          <w:highlight w:val="white"/>
        </w:rPr>
        <w:t xml:space="preserve">26. Министерство осуществляет проверку отчетности, устанавливает полноту и достоверность сведений, содержащихся в отчете и в прилагаемых к отчетам документах (при наличии</w:t>
      </w:r>
      <w:r>
        <w:rPr>
          <w:rStyle w:val="632"/>
          <w:rFonts w:ascii="Times New Roman" w:hAnsi="Times New Roman"/>
          <w:sz w:val="28"/>
        </w:rPr>
        <w:t xml:space="preserve">), в</w:t>
      </w:r>
      <w:r>
        <w:rPr>
          <w:rStyle w:val="632"/>
          <w:rFonts w:ascii="Times New Roman" w:hAnsi="Times New Roman"/>
          <w:sz w:val="28"/>
          <w:highlight w:val="white"/>
        </w:rPr>
        <w:t xml:space="preserve"> течение 5 рабочих дней со дня получения отче</w:t>
      </w:r>
      <w:r>
        <w:rPr>
          <w:rStyle w:val="632"/>
          <w:rFonts w:ascii="Times New Roman" w:hAnsi="Times New Roman"/>
          <w:sz w:val="28"/>
        </w:rPr>
        <w:t xml:space="preserve">тов, указанных в части 25 настоящего Порядка.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560" w:leader="none"/>
        </w:tabs>
      </w:pPr>
      <w:r>
        <w:rPr>
          <w:rStyle w:val="632"/>
          <w:rFonts w:ascii="Times New Roman" w:hAnsi="Times New Roman"/>
          <w:sz w:val="28"/>
        </w:rPr>
        <w:t xml:space="preserve">27. Отчет считается принятым после подписания его усиленной квалифицированной электронной подписью Министра (уполномоченного им лица) в системе «Электронный бюджет».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560" w:leader="none"/>
        </w:tabs>
        <w:rPr>
          <w:color w:val="ff0000"/>
          <w:highlight w:val="white"/>
        </w:rPr>
      </w:pPr>
      <w:r>
        <w:rPr>
          <w:rStyle w:val="632"/>
          <w:rFonts w:ascii="Times New Roman" w:hAnsi="Times New Roman"/>
          <w:sz w:val="28"/>
        </w:rPr>
        <w:t xml:space="preserve">28. Отчет считается не принятым после направления получателю субсидии протокола, подписанного</w:t>
      </w:r>
      <w:r>
        <w:rPr>
          <w:rStyle w:val="632"/>
          <w:rFonts w:ascii="Times New Roman" w:hAnsi="Times New Roman"/>
          <w:sz w:val="28"/>
        </w:rPr>
        <w:t xml:space="preserve"> усиленной квалифицированной электронной подписью Министра (уполномоченного им лица) в системе «Электронный бюджет», в связи с некорректным заполнением (не заполнением) получателем субсидии всех обязательных для заполнения граф, предусмотренных в отчете и </w:t>
      </w:r>
      <w:r>
        <w:rPr>
          <w:rStyle w:val="632"/>
          <w:rFonts w:ascii="Times New Roman" w:hAnsi="Times New Roman"/>
          <w:sz w:val="28"/>
          <w:highlight w:val="white"/>
        </w:rPr>
        <w:t xml:space="preserve">(или) непредставлением (представлением не в полном объеме) документов, указанных в части 25 настоящего Порядк</w:t>
      </w:r>
      <w:r>
        <w:rPr>
          <w:rStyle w:val="632"/>
          <w:rFonts w:ascii="Times New Roman" w:hAnsi="Times New Roman"/>
          <w:color w:val="000000" w:themeColor="text1"/>
          <w:sz w:val="28"/>
          <w:highlight w:val="white"/>
        </w:rPr>
        <w:t xml:space="preserve">а.</w:t>
      </w:r>
      <w:r/>
    </w:p>
    <w:p>
      <w:pPr>
        <w:pStyle w:val="599"/>
        <w:ind w:left="0" w:firstLine="708"/>
        <w:jc w:val="both"/>
        <w:spacing w:before="0" w:after="0" w:line="240" w:lineRule="auto"/>
        <w:tabs>
          <w:tab w:val="clear" w:pos="708" w:leader="none"/>
          <w:tab w:val="left" w:pos="1560" w:leader="none"/>
        </w:tabs>
      </w:pPr>
      <w:r>
        <w:rPr>
          <w:rStyle w:val="632"/>
          <w:rFonts w:ascii="Times New Roman" w:hAnsi="Times New Roman"/>
          <w:sz w:val="28"/>
        </w:rPr>
        <w:t xml:space="preserve">Министерство в протоколе, направленном получателю субсидии, устанавливает срок представления скорректированного отчета.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29. Министерство осуществляет мониторинг достижения значения результата предоставления субсидии, определенных соглашением</w:t>
      </w:r>
      <w:r>
        <w:rPr>
          <w:rFonts w:ascii="Times New Roman" w:hAnsi="Times New Roman"/>
          <w:sz w:val="28"/>
          <w:highlight w:val="white"/>
        </w:rPr>
        <w:t xml:space="preserve">, в порядке и по формам, установленным Министерством финансов Российской Федерации.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30. Министерство осуществляет в отн</w:t>
      </w:r>
      <w:r>
        <w:rPr>
          <w:rFonts w:ascii="Times New Roman" w:hAnsi="Times New Roman"/>
          <w:sz w:val="28"/>
          <w:highlight w:val="white"/>
        </w:rPr>
        <w:t xml:space="preserve">ошении получателей субсидии проверки соблюдения ими порядка и условий предоставления субсидии, в том числе в части достижения результатов ее предоставления, а органы государственного финансового контроля осуществляют проверки в соответствии со статьями 268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1</w:t>
      </w:r>
      <w:r>
        <w:rPr>
          <w:rFonts w:ascii="Times New Roman" w:hAnsi="Times New Roman"/>
          <w:sz w:val="28"/>
          <w:highlight w:val="white"/>
        </w:rPr>
        <w:t xml:space="preserve"> и 269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2</w:t>
      </w:r>
      <w:r>
        <w:rPr>
          <w:rFonts w:ascii="Times New Roman" w:hAnsi="Times New Roman"/>
          <w:sz w:val="28"/>
          <w:highlight w:val="white"/>
        </w:rPr>
        <w:t xml:space="preserve"> Бюджетного кодекса Российской Федерации.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Министерство оформляет результаты проверок в порядке, установленном пунктами </w:t>
      </w:r>
      <w:r>
        <w:rPr>
          <w:rFonts w:ascii="Times New Roman" w:hAnsi="Times New Roman"/>
          <w:sz w:val="28"/>
          <w:highlight w:val="white"/>
        </w:rPr>
        <w:t xml:space="preserve">48–59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 17.08.2020 № 1235.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31. В случае нарушения получателем субсидии условий и порядка, установленных при предоставлении субсидии, выявленного в том числе по факта</w:t>
      </w:r>
      <w:r>
        <w:rPr>
          <w:rFonts w:ascii="Times New Roman" w:hAnsi="Times New Roman"/>
          <w:sz w:val="28"/>
          <w:highlight w:val="white"/>
        </w:rPr>
        <w:t xml:space="preserve">м проверок, проведенных Министерством и органами государственного финансового контроля, а также в случае недостижения значений результатов предоставления субсидии, получатель субсидии обязан возвратить субсидию в краевой бюджет в следующем порядке и сроки: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в случае выявления нарушения Министерством – в течение 20 рабочих дней со дня получения требования Министерства;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в иных случаях – в течение 20 рабочих дней со дня нарушения.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32. Получатели субсидии обязаны возвратить средства субсидии в следующих размерах: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1) в случае нарушения условий и порядка предоставления субсидии – в полном объеме; 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2) в случае нарушения целей предоставления субсидии – в размере нецелевого расходования бюджетных средств;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3) в случае недостижения значений показателей результата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– в размере, рассчитанном по формуле:</w:t>
      </w:r>
      <w:r/>
    </w:p>
    <w:p>
      <w:pPr>
        <w:pStyle w:val="599"/>
        <w:contextualSpacing/>
        <w:ind w:left="709"/>
        <w:jc w:val="both"/>
        <w:spacing w:before="0" w:after="160"/>
        <w:tabs>
          <w:tab w:val="clear" w:pos="708" w:leader="none"/>
          <w:tab w:val="left" w:pos="993" w:leader="none"/>
        </w:tabs>
      </w:pPr>
      <w:r>
        <w:rPr>
          <w:szCs w:val="28"/>
        </w:rPr>
        <w:tab/>
        <w:tab/>
        <w:tab/>
        <w:tab/>
        <w:tab/>
        <w:tab/>
        <w:tab/>
        <w:tab/>
      </w:r>
      <w:r/>
    </w:p>
    <w:p>
      <w:pPr>
        <w:pStyle w:val="599"/>
        <w:ind w:firstLine="709"/>
        <w:jc w:val="center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× </w:t>
      </w:r>
      <w:r>
        <w:rPr>
          <w:rFonts w:ascii="Times New Roman" w:hAnsi="Times New Roman" w:cs="Times New Roman"/>
          <w:sz w:val="28"/>
          <w:szCs w:val="28"/>
        </w:rPr>
        <w:t xml:space="preserve">(Y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/ X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) где:</w:t>
      </w:r>
      <w:r/>
    </w:p>
    <w:p>
      <w:pPr>
        <w:pStyle w:val="599"/>
        <w:ind w:firstLine="709"/>
        <w:jc w:val="center"/>
        <w:spacing w:before="0" w:after="0" w:line="240" w:lineRule="auto"/>
        <w:tabs>
          <w:tab w:val="clear" w:pos="708" w:leader="none"/>
          <w:tab w:val="left" w:pos="1134" w:leader="none"/>
        </w:tabs>
      </w:pPr>
      <w:r/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W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/>
          <w:sz w:val="28"/>
          <w:szCs w:val="28"/>
          <w:highlight w:val="white"/>
        </w:rPr>
        <w:t xml:space="preserve"> – размер субсидии, подлежащий возврату в краевой бюджет i-тым получателем субсидии;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C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/>
          <w:sz w:val="28"/>
          <w:szCs w:val="28"/>
          <w:highlight w:val="white"/>
        </w:rPr>
        <w:t xml:space="preserve"> – размер субсидии, предоставленный i-тому получателю субсидии в отчетном году;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Y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/>
          <w:sz w:val="28"/>
          <w:szCs w:val="28"/>
          <w:highlight w:val="white"/>
        </w:rPr>
        <w:t xml:space="preserve"> – достигнутое i-тым получателем субсидии значение результата предоставления субсидии;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X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/>
          <w:sz w:val="28"/>
          <w:szCs w:val="28"/>
          <w:highlight w:val="white"/>
        </w:rPr>
        <w:t xml:space="preserve"> – значение результата предоставления субсидии, установленное соглашением i-тому получателю субсидии.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33. Письменное требование о возврате субсидии в краевой бюджет направляется Министерством получателю субсидии в течение 5 рабочих дней после дня выявления нарушений Министерством</w:t>
      </w:r>
      <w:r>
        <w:rPr>
          <w:rFonts w:ascii="Times New Roman" w:hAnsi="Times New Roman"/>
          <w:sz w:val="28"/>
        </w:rPr>
        <w:t xml:space="preserve"> посредством почтового отправления, нарочным спосо</w:t>
      </w:r>
      <w:r>
        <w:rPr>
          <w:rFonts w:ascii="Times New Roman" w:hAnsi="Times New Roman"/>
          <w:sz w:val="28"/>
          <w:highlight w:val="white"/>
        </w:rPr>
        <w:t xml:space="preserve">бом, на адрес электронной почты или иным способом, обеспечивающим подтверждение получения указанного требования.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34. При невозврате субсидии в сроки, установленные частью 31 настоящего Порядка, Министерство принимает нео</w:t>
      </w:r>
      <w:r>
        <w:rPr>
          <w:rFonts w:ascii="Times New Roman" w:hAnsi="Times New Roman"/>
          <w:sz w:val="28"/>
          <w:highlight w:val="white"/>
        </w:rPr>
        <w:t xml:space="preserve">бходимые меры по взысканию подлежащей возврату в краевой бюджет субсидии в судебном порядке в срок не позднее 30 рабочих дней после дня, когда Министерству стало известно о неисполнении получателем субсидии обязанности возвратить субсидию в краевой бюджет.</w:t>
      </w:r>
      <w:r/>
    </w:p>
    <w:p>
      <w:pPr>
        <w:pStyle w:val="599"/>
        <w:ind w:left="0" w:firstLine="708"/>
        <w:jc w:val="both"/>
        <w:spacing w:before="0" w:after="0" w:line="240" w:lineRule="auto"/>
      </w:pPr>
      <w:r/>
      <w:r/>
    </w:p>
    <w:p>
      <w:pPr>
        <w:pStyle w:val="599"/>
        <w:jc w:val="center"/>
        <w:spacing w:before="0"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3. Отбор получателей субсидии</w:t>
      </w:r>
      <w:r/>
    </w:p>
    <w:p>
      <w:pPr>
        <w:pStyle w:val="599"/>
        <w:jc w:val="center"/>
        <w:spacing w:before="0" w:after="0" w:line="240" w:lineRule="auto"/>
      </w:pPr>
      <w:r/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35. Субсидия предоставляется путем проведения Министерством отбора, который проводится в форме запроса предложений (заявок) участник</w:t>
      </w:r>
      <w:r>
        <w:rPr>
          <w:rFonts w:ascii="Times New Roman" w:hAnsi="Times New Roman"/>
          <w:sz w:val="28"/>
        </w:rPr>
        <w:t xml:space="preserve">ов отбора.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36. Отбор осуществляется в системе «Электронный бюджет».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Информация о проведении отбора размещается на едином портале.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37. Обеспечение доступа к системе «Электронный бюджет» осуществляется с использованием федеральной государственной информ</w:t>
      </w:r>
      <w:r>
        <w:rPr>
          <w:rFonts w:ascii="Times New Roman" w:hAnsi="Times New Roman"/>
          <w:sz w:val="28"/>
          <w:highlight w:val="white"/>
        </w:rPr>
        <w:t xml:space="preserve">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38. Взаимодействие Министерства с участниками отбора осуществляется с использованием документов в электронной форме в системе «Электронный бюджет».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39. Отбор осуществляется исходя из соответствия участников отбора требованиям, установленным часть</w:t>
      </w:r>
      <w:r>
        <w:rPr>
          <w:rFonts w:ascii="Times New Roman" w:hAnsi="Times New Roman"/>
          <w:sz w:val="28"/>
        </w:rPr>
        <w:t xml:space="preserve">ю 7</w:t>
      </w:r>
      <w:r>
        <w:rPr>
          <w:rFonts w:ascii="Times New Roman" w:hAnsi="Times New Roman"/>
          <w:sz w:val="28"/>
          <w:highlight w:val="white"/>
        </w:rPr>
        <w:t xml:space="preserve"> настоящего Порядка, и категории участников отбора в соответствии с ча</w:t>
      </w:r>
      <w:r>
        <w:rPr>
          <w:rFonts w:ascii="Times New Roman" w:hAnsi="Times New Roman"/>
          <w:sz w:val="28"/>
        </w:rPr>
        <w:t xml:space="preserve">стью 5 насто</w:t>
      </w:r>
      <w:r>
        <w:rPr>
          <w:rFonts w:ascii="Times New Roman" w:hAnsi="Times New Roman"/>
          <w:sz w:val="28"/>
          <w:highlight w:val="white"/>
        </w:rPr>
        <w:t xml:space="preserve">ящего Порядка, а также очередности поступления заявок участников отбора.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40. В целях проведения отбора Министерство в срок не позднее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  <w:shd w:val="clear" w:color="auto" w:fill="ff0000"/>
        </w:rPr>
        <w:t xml:space="preserve">1 декабря</w:t>
      </w:r>
      <w:r>
        <w:rPr>
          <w:rFonts w:ascii="Times New Roman" w:hAnsi="Times New Roman"/>
          <w:sz w:val="28"/>
          <w:highlight w:val="white"/>
        </w:rPr>
        <w:t xml:space="preserve"> года предоставления субсидии размещает на едином порта</w:t>
      </w:r>
      <w:r>
        <w:rPr>
          <w:rFonts w:ascii="Times New Roman" w:hAnsi="Times New Roman"/>
          <w:sz w:val="28"/>
          <w:highlight w:val="white"/>
        </w:rPr>
        <w:t xml:space="preserve">ле объявление о проведении отбора (далее – объявление), которое включает в себя следующую информацию в соответствии с настоящим Порядком: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Fonts w:ascii="Times New Roman" w:hAnsi="Times New Roman"/>
          <w:sz w:val="28"/>
        </w:rPr>
        <w:t xml:space="preserve">1)</w:t>
        <w:tab/>
        <w:t xml:space="preserve">сроки проведения отбора; </w:t>
      </w:r>
      <w:r/>
    </w:p>
    <w:p>
      <w:pPr>
        <w:pStyle w:val="599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Fonts w:ascii="Times New Roman" w:hAnsi="Times New Roman"/>
          <w:sz w:val="28"/>
        </w:rPr>
        <w:t xml:space="preserve">2)</w:t>
        <w:tab/>
        <w:t xml:space="preserve">дата начала подачи и окончания приема заявок участников отбора, </w:t>
      </w:r>
      <w:r>
        <w:rPr>
          <w:rStyle w:val="632"/>
          <w:rFonts w:ascii="Times New Roman" w:hAnsi="Times New Roman"/>
          <w:sz w:val="28"/>
        </w:rPr>
        <w:t xml:space="preserve">при этом дата окончания приема заявок не может быть ранее 5-го календарного дня, следующего за днем размещения объявления</w:t>
      </w:r>
      <w:r>
        <w:rPr>
          <w:rFonts w:ascii="Times New Roman" w:hAnsi="Times New Roman"/>
          <w:sz w:val="28"/>
        </w:rPr>
        <w:t xml:space="preserve">;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3) наименование, место нахождения, почтовый адрес, адрес электронной почты Министерства;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4) результат (результаты) предоставления субсидии, а также характеристика (характеристики) результата (при ее установлении);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5) доменное имя в сети «Интернет»;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6) требования к участникам отбора, определенные в соответствии с частью 7 настоящего Порядка, которым участник отбора должен соответствовать, и к перечню документов, представляемых участниками отбора для подтверждения соответствия указанным требованиям;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7) категории и (или) критерии отбора;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8) порядок подачи участниками отбора заявок и требования, предъявляемые к форме и содержанию заявок;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9) порядок отзыва заявок, порядок их возврата, определяющий в том числе основания для возврата заявок, порядок внесения изменений в заявки;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10) правила рассмотрения и оценки заявок;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11) порядок возврата заявок на доработку;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12) порядок отклонения заявок, а также информация об основаниях их отклонения;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13) объем распределяемой субсидии в рамках отбора, порядок расчета размера субсидии,</w:t>
      </w:r>
      <w:r>
        <w:t xml:space="preserve"> </w:t>
      </w:r>
      <w:r>
        <w:rPr>
          <w:rFonts w:ascii="Times New Roman" w:hAnsi="Times New Roman"/>
          <w:sz w:val="28"/>
        </w:rPr>
        <w:t xml:space="preserve">установленный частью</w:t>
      </w:r>
      <w:r>
        <w:rPr>
          <w:rFonts w:ascii="Times New Roman" w:hAnsi="Times New Roman"/>
          <w:sz w:val="28"/>
          <w:highlight w:val="white"/>
        </w:rPr>
        <w:t xml:space="preserve"> 22 н</w:t>
      </w:r>
      <w:r>
        <w:rPr>
          <w:rFonts w:ascii="Times New Roman" w:hAnsi="Times New Roman"/>
          <w:sz w:val="28"/>
        </w:rPr>
        <w:t xml:space="preserve">астоящего Порядка, правила распределения субсидии по результатам отбора, а также предельное количество победителей отбора;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14) порядок предоставления участникам отбора разъяснений положений объявления, даты начала и окончания срока такого предоставления;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15) срок, в течение которого победитель (победители) отбора должен подписать соглашение;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16) условия признания победителя (победителей) отбора уклонившимся от заключения соглашения;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17) сроки размещения протокола подведения итогов отбора на едином портале.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41. Министерство вправе отменить проведение отбора не позднее чем за 1 рабочий день до даты окончания срока подачи заявок участниками отбора путем размещения объявления об отмене проведения отбора на едином портале.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highlight w:val="white"/>
        </w:rPr>
      </w:pPr>
      <w:r>
        <w:rPr>
          <w:rStyle w:val="632"/>
          <w:rFonts w:ascii="Times New Roman" w:hAnsi="Times New Roman"/>
          <w:sz w:val="28"/>
          <w:highlight w:val="white"/>
        </w:rPr>
        <w:t xml:space="preserve">Отбор может быть отменен в случае уменьшения лимитов бюджетных обязательств, </w:t>
      </w:r>
      <w:r>
        <w:rPr>
          <w:rFonts w:ascii="Times New Roman" w:hAnsi="Times New Roman"/>
          <w:sz w:val="28"/>
          <w:highlight w:val="white"/>
        </w:rPr>
        <w:t xml:space="preserve">доведенных в установленном порядке до Министерства,</w:t>
      </w:r>
      <w:r>
        <w:rPr>
          <w:rStyle w:val="632"/>
          <w:rFonts w:ascii="Times New Roman" w:hAnsi="Times New Roman"/>
          <w:sz w:val="28"/>
          <w:highlight w:val="white"/>
        </w:rPr>
        <w:t xml:space="preserve"> на предоставление субсидии на соответствующий финансовый год, приводящего к невозможности предоставления субсидии.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  <w:highlight w:val="white"/>
        </w:rPr>
        <w:t xml:space="preserve">42. Объявление об отмене отбора формируется в электр</w:t>
      </w:r>
      <w:r>
        <w:rPr>
          <w:rFonts w:ascii="Times New Roman" w:hAnsi="Times New Roman"/>
          <w:sz w:val="28"/>
          <w:highlight w:val="white"/>
        </w:rPr>
        <w:t xml:space="preserve">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Министра </w:t>
      </w:r>
      <w:r>
        <w:rPr>
          <w:rStyle w:val="632"/>
          <w:rFonts w:ascii="Times New Roman" w:hAnsi="Times New Roman"/>
          <w:sz w:val="28"/>
          <w:highlight w:val="white"/>
        </w:rPr>
        <w:t xml:space="preserve">(уполномоченного им лица)</w:t>
      </w:r>
      <w:r>
        <w:rPr>
          <w:rFonts w:ascii="Times New Roman" w:hAnsi="Times New Roman"/>
          <w:sz w:val="28"/>
          <w:highlight w:val="white"/>
        </w:rPr>
        <w:t xml:space="preserve">, размещается на едином портале и содержит информацию о причинах отмены отбора.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43. Участники отбора, подавшие заявки, информируются об отмене проведения отбора в системе «Электронный бюджет».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44. Отбор считается отмененным со дня размещения объявления о его отмене на едином портале.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45. К участию в отборе допускаются юридические лица и индивидуальные предприниматели, соответствующие категории участников отбора, установленно</w:t>
      </w:r>
      <w:r>
        <w:rPr>
          <w:rFonts w:ascii="Times New Roman" w:hAnsi="Times New Roman"/>
          <w:sz w:val="28"/>
        </w:rPr>
        <w:t xml:space="preserve">й частью 5 настоящего П</w:t>
      </w:r>
      <w:r>
        <w:rPr>
          <w:rFonts w:ascii="Times New Roman" w:hAnsi="Times New Roman"/>
          <w:sz w:val="28"/>
          <w:highlight w:val="white"/>
        </w:rPr>
        <w:t xml:space="preserve">орядка.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46. Подача заявки осуществляется в соответствии с требованиями, установленными с час</w:t>
      </w:r>
      <w:r>
        <w:rPr>
          <w:rFonts w:ascii="Times New Roman" w:hAnsi="Times New Roman"/>
          <w:sz w:val="28"/>
        </w:rPr>
        <w:t xml:space="preserve">тями </w:t>
      </w:r>
      <w:r>
        <w:rPr>
          <w:rFonts w:ascii="Times New Roman" w:hAnsi="Times New Roman"/>
          <w:sz w:val="28"/>
          <w:highlight w:val="white"/>
        </w:rPr>
        <w:t xml:space="preserve">47 и 48 н</w:t>
      </w:r>
      <w:r>
        <w:rPr>
          <w:rFonts w:ascii="Times New Roman" w:hAnsi="Times New Roman"/>
          <w:sz w:val="28"/>
        </w:rPr>
        <w:t xml:space="preserve">астоящего</w:t>
      </w:r>
      <w:r>
        <w:rPr>
          <w:rFonts w:ascii="Times New Roman" w:hAnsi="Times New Roman"/>
          <w:sz w:val="28"/>
          <w:highlight w:val="white"/>
        </w:rPr>
        <w:t xml:space="preserve"> Порядка и в сроки, указанные в объявлении.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47. Заявки формируются участниками отбора в электронной форме посредством заполнения соответствующих экранных форм веб-интерфейса си</w:t>
      </w:r>
      <w:r>
        <w:rPr>
          <w:rFonts w:ascii="Times New Roman" w:hAnsi="Times New Roman"/>
          <w:sz w:val="28"/>
          <w:highlight w:val="white"/>
        </w:rPr>
        <w:t xml:space="preserve">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 и материалов, представление которых предусмотрено в объявлении.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48. Заявка подписывается усиленной квалифицированной электронной подписью руководителя участника отбора или уполномоченного им лица.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49. 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50. Электронные копии документов и материалы, включаемые в заявку, должны иметь распространенные открытые форматы, обеспечивающие возмож</w:t>
      </w:r>
      <w:r>
        <w:rPr>
          <w:rFonts w:ascii="Times New Roman" w:hAnsi="Times New Roman"/>
          <w:sz w:val="28"/>
          <w:highlight w:val="white"/>
        </w:rPr>
        <w:t xml:space="preserve">ность просмотра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51. Датой и временем представления участником отбора заявки считаются дата и время подписания им указанной заявки с присвоением ей регистрационного номера в системе «Электронный бюджет».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52. Заявка содержит следующие сведения и документы: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информацию и документы об участнике отбора: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а) полное и сокращенное наименование участника отбора;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highlight w:val="white"/>
        </w:rPr>
        <w:t xml:space="preserve">б) основной государственный регистрационный номер участника отбора – юридического лица и</w:t>
      </w:r>
      <w:r>
        <w:rPr>
          <w:rFonts w:ascii="Times New Roman" w:hAnsi="Times New Roman"/>
          <w:sz w:val="28"/>
          <w:szCs w:val="28"/>
          <w:highlight w:val="white"/>
        </w:rPr>
        <w:t xml:space="preserve"> основной государственный регистрационный номер индивидуального предпринимателя для участника отбора – индивидуального предпринимателя;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в) идентификационный номер налогоплательщика;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г) да</w:t>
      </w:r>
      <w:r>
        <w:rPr>
          <w:rFonts w:ascii="Times New Roman" w:hAnsi="Times New Roman"/>
          <w:sz w:val="28"/>
        </w:rPr>
        <w:t xml:space="preserve">ту и код причины постановки на учет в налоговом органе участника отбора;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д) адрес участника отбора;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е) номер контактного телефона, почтовый адрес и адрес электронной почты для направления юридически значимых сообщений;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ж) фамилию, имя, отчество (при наличии) и иден</w:t>
      </w:r>
      <w:r>
        <w:rPr>
          <w:rFonts w:ascii="Times New Roman" w:hAnsi="Times New Roman"/>
          <w:sz w:val="28"/>
        </w:rPr>
        <w:t xml:space="preserve">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(для юридических лиц);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з) информацию о руководителе участника отбора (фамилия, имя, отчество (при наличии), идентификационный номер налогоплательщика, должность);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и) информацию о счетах в соответствии с законодательством Российской Федерации для перечисления субсид</w:t>
      </w:r>
      <w:r>
        <w:rPr>
          <w:rFonts w:ascii="Times New Roman" w:hAnsi="Times New Roman"/>
          <w:sz w:val="28"/>
          <w:highlight w:val="white"/>
        </w:rPr>
        <w:t xml:space="preserve">ии, а также о лице, уполномоченном на подписание соглашения;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2) подтверждение согласия на публикацию (размещение) в сети «Интернет» информации об участнике</w:t>
      </w:r>
      <w:r>
        <w:rPr>
          <w:rFonts w:ascii="Times New Roman" w:hAnsi="Times New Roman"/>
          <w:sz w:val="28"/>
          <w:highlight w:val="white"/>
        </w:rPr>
        <w:t xml:space="preserve"> отбора, о подаваемой участником отбора заявке, а также иной информации, связанной с соответствующим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3) пр</w:t>
      </w:r>
      <w:r>
        <w:rPr>
          <w:rFonts w:ascii="Times New Roman" w:hAnsi="Times New Roman"/>
          <w:sz w:val="28"/>
          <w:highlight w:val="white"/>
        </w:rPr>
        <w:t xml:space="preserve">едлагаемое участником отбора значение результата предоставления субсидии, в соответствии частью 23 настоящего Порядка, значение запрашиваемого участником отбора размера субсидии, который не может быть выше максимального размера, установленного в объявлении</w:t>
      </w:r>
      <w:r>
        <w:rPr>
          <w:rFonts w:ascii="Times New Roman" w:hAnsi="Times New Roman"/>
          <w:sz w:val="28"/>
        </w:rPr>
        <w:t xml:space="preserve">;</w:t>
      </w:r>
      <w:r/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1276" w:leader="none"/>
        </w:tabs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4)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81d41a"/>
        </w:rPr>
        <w:t xml:space="preserve">копии договоров энергоснабжения (теплоснабжения), заключенн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ых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81d41a"/>
        </w:rPr>
        <w:t xml:space="preserve">между участником отбора и потребителями;</w:t>
      </w:r>
      <w:r>
        <w:rPr>
          <w:highlight w:val="white"/>
        </w:rPr>
      </w:r>
    </w:p>
    <w:p>
      <w:pPr>
        <w:pStyle w:val="599"/>
        <w:ind w:firstLine="709"/>
        <w:jc w:val="both"/>
        <w:spacing w:before="0" w:after="0" w:line="240" w:lineRule="auto"/>
        <w:tabs>
          <w:tab w:val="clear" w:pos="708" w:leader="none"/>
          <w:tab w:val="left" w:pos="1276" w:leader="none"/>
        </w:tabs>
        <w:rPr>
          <w:highlight w:val="white"/>
          <w:shd w:val="clear" w:color="auto" w:fill="81d41a"/>
        </w:rPr>
      </w:pP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81d41a"/>
        </w:rPr>
        <w:t xml:space="preserve">5)</w:t>
        <w:tab/>
        <w:t xml:space="preserve">объем плановой реализации тепловой энергии поставляем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ой участником отбора в текущем финансовом году потребителям по форме,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81d41a"/>
        </w:rPr>
        <w:t xml:space="preserve">установленной Министерством.</w:t>
      </w:r>
      <w:r>
        <w:rPr>
          <w:highlight w:val="white"/>
        </w:rPr>
      </w:r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53. Внесение изменений в заявку или отзыв заявки осуществляется участником отбора в соответствии с частями 54 и 55 настоящего Порядка.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54. Участник отбора, подавший заявку, вправе отозвать заявку.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Заявка может быть отозвана в срок не позднее 2 рабочих дней до окончания срока приема заявок. Возврат заявки осуществляется путем формирования участником отбора уведомления об отзыве заявки в системе «Электронный бюджет». 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55. Внесение изменений в заявку осуществляется участником отбо</w:t>
      </w:r>
      <w:r>
        <w:rPr>
          <w:rFonts w:ascii="Times New Roman" w:hAnsi="Times New Roman"/>
          <w:sz w:val="28"/>
        </w:rPr>
        <w:t xml:space="preserve">ра в пределах срока, установленного для подачи заявок, но не позднее 2 рабочих дней до окончания срока приема заявок, после формирования участником отбора уведомления об отзыве заявки в системе «Электронный бюджет» и последующего формирования новой заявки.</w:t>
      </w:r>
      <w:r/>
    </w:p>
    <w:p>
      <w:pPr>
        <w:pStyle w:val="599"/>
        <w:ind w:left="0" w:firstLine="709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Внесение изменений в заявку осуществляется участником отбора в порядке, аналогичном порядку формирования заявки, указанному в части 47 настоящего Порядка.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56. Любой участник отбора с</w:t>
      </w:r>
      <w:r>
        <w:rPr>
          <w:rFonts w:ascii="Times New Roman" w:hAnsi="Times New Roman"/>
          <w:sz w:val="28"/>
          <w:highlight w:val="white"/>
        </w:rPr>
        <w:t xml:space="preserve">о дня размеще</w:t>
      </w:r>
      <w:r>
        <w:rPr>
          <w:rFonts w:ascii="Times New Roman" w:hAnsi="Times New Roman"/>
          <w:sz w:val="28"/>
          <w:highlight w:val="white"/>
        </w:rPr>
        <w:t xml:space="preserve">ния объявления на едином портале не позднее 3-го рабочего дня до дня завершения подачи заявок вправе направить в Министерство не более 5 запросов о разъяснении положений объявления путем формирования в системе «Электронный бюджет» соответствующего запроса.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57. Министерство в ответ на запрос, указанный</w:t>
      </w:r>
      <w:r>
        <w:rPr>
          <w:rFonts w:ascii="Times New Roman" w:hAnsi="Times New Roman"/>
          <w:sz w:val="28"/>
        </w:rPr>
        <w:t xml:space="preserve"> в части 56 настоящег</w:t>
      </w:r>
      <w:r>
        <w:rPr>
          <w:rFonts w:ascii="Times New Roman" w:hAnsi="Times New Roman"/>
          <w:sz w:val="28"/>
          <w:highlight w:val="white"/>
        </w:rPr>
        <w:t xml:space="preserve">о Порядка, направляет разъяснение положений объявления в срок, установленный указанным объявлением, но не позднее 1-го рабо</w:t>
      </w:r>
      <w:r>
        <w:rPr>
          <w:rFonts w:ascii="Times New Roman" w:hAnsi="Times New Roman"/>
          <w:sz w:val="28"/>
          <w:highlight w:val="white"/>
        </w:rPr>
        <w:t xml:space="preserve">чего дня до дня завершения подачи заявок, путем формирования в системе «Электронный бюджет» соответствующего разъяснения. Представленное Министерством разъяснение положений объявления не должно изменять суть информации, содержащейся в указанном объявлении.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Доступ к разъяснению, формируемому в системе «Электронный бюджет» в соответствии с абзацем первым настоящей части, предоставляется всем участникам отбора.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58. Министерству не позднее 1-го рабочего дня, следующего за днем окончания срока подачи заявок, установленного в объявлении, открывается доступ к поданным участниками отбора заявкам для их рассмотрения, в системе «Электронный бюджет».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59. Протокол вскрытия заявок содержит следующую информацию: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регистрационный номер заявки;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дата и время поступления заявки;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полное наименование участника отбора получателей субсидий;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адрес участника отбора;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запрашиваемый участником отбора размер субсидии.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60. Протокол вскрытия заявок формируется на едином </w:t>
      </w:r>
      <w:r>
        <w:rPr>
          <w:rFonts w:ascii="Times New Roman" w:hAnsi="Times New Roman"/>
          <w:sz w:val="28"/>
          <w:highlight w:val="white"/>
        </w:rPr>
        <w:t xml:space="preserve">портале автоматически и подписывается усиленной квалифицированной электронной подписью Министра (уполномоченного им лица) в системе «Электронный бюджет», а также размещается на едином портале не позднее</w:t>
        <w:br/>
        <w:t xml:space="preserve">1-го рабочего дня, следующего за днем его подписания.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61. Министерство в течение 15  рабочих дней </w:t>
      </w:r>
      <w:r>
        <w:rPr>
          <w:rFonts w:ascii="Times New Roman" w:hAnsi="Times New Roman"/>
          <w:sz w:val="28"/>
        </w:rPr>
        <w:t xml:space="preserve">со дня фор</w:t>
      </w:r>
      <w:r>
        <w:rPr>
          <w:rFonts w:ascii="Times New Roman" w:hAnsi="Times New Roman"/>
          <w:sz w:val="28"/>
          <w:highlight w:val="white"/>
        </w:rPr>
        <w:t xml:space="preserve">мирования протокола вскрытия заявок осуществляет рассмотрение заявок, проверку полноты и достоверности содержащихся в заявках</w:t>
      </w:r>
      <w:r>
        <w:rPr>
          <w:rFonts w:ascii="Times New Roman" w:hAnsi="Times New Roman"/>
          <w:sz w:val="28"/>
        </w:rPr>
        <w:t xml:space="preserve"> сведений, проверку получателя субсидий на соответствие указанным в части 7 настоящего Порядка требованиям, а также категории участников отбора в соответствии с частью 5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  <w:highlight w:val="white"/>
        </w:rPr>
        <w:t xml:space="preserve">62. Решения Министерства о возврате заявок участникам отбора на доработку принимаются в равной мере ко всем участникам отбора, при рассмотрении заявок которых выявлены основа</w:t>
      </w:r>
      <w:r>
        <w:rPr>
          <w:rStyle w:val="632"/>
          <w:rFonts w:ascii="Times New Roman" w:hAnsi="Times New Roman"/>
          <w:sz w:val="28"/>
          <w:highlight w:val="white"/>
        </w:rPr>
        <w:t xml:space="preserve">ния для их возврата на доработку, а также доводятся до участников отбора с использованием</w:t>
        <w:br/>
        <w:t xml:space="preserve">системы «Электронный бюджет» в течение 5 рабочих дней со дня их принятия с указанием оснований для возврата заявки, а также положений заявки, нуждающихся в доработке.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Срок предоставления доработанной участником отбора заявки в Министерство не должен превышать 5 рабочих дней со дня возврата ему заявки для доработки.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  <w:highlight w:val="white"/>
        </w:rPr>
        <w:t xml:space="preserve">Доработанная участником отбора заявка, поступившая позже срока, указанного в абзаце втором настоящей части, Министерством не рассматривается.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63. Заявка признается надлежащей, если она соответствует требованиям, </w:t>
      </w:r>
      <w:r>
        <w:rPr>
          <w:rFonts w:ascii="Times New Roman" w:hAnsi="Times New Roman"/>
          <w:sz w:val="28"/>
        </w:rPr>
        <w:t xml:space="preserve">указанным в объявлении, и при отсутствии оснований для отклонения заявки</w:t>
      </w:r>
      <w:r>
        <w:rPr>
          <w:rFonts w:ascii="Times New Roman" w:hAnsi="Times New Roman"/>
          <w:sz w:val="28"/>
          <w:highlight w:val="white"/>
        </w:rPr>
        <w:t xml:space="preserve">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Решение о соответствии заявки требованиям, указанным в объявлении, принимаются Министерством на даты получения результатов проверки представленных участником отбора информации и документов, поданных в составе заявки.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64. Заявка отклоня</w:t>
      </w:r>
      <w:r>
        <w:rPr>
          <w:rFonts w:ascii="Times New Roman" w:hAnsi="Times New Roman"/>
          <w:sz w:val="28"/>
        </w:rPr>
        <w:t xml:space="preserve">ется в случае наличия оснований для отклонения заявки, предусмотренных частью 65 настоящего Порядка.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65. На стадии рассмотрения заявки основаниями для отклонения заявки являются: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1) несоответствие участника отбора требованиям, установленным </w:t>
        <w:br/>
        <w:t xml:space="preserve">частью 7 настоящего Порядка;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2) непредставле</w:t>
      </w:r>
      <w:r>
        <w:rPr>
          <w:rFonts w:ascii="Times New Roman" w:hAnsi="Times New Roman"/>
          <w:sz w:val="28"/>
          <w:highlight w:val="white"/>
        </w:rPr>
        <w:t xml:space="preserve">ние (представление не в полном объеме) документов, указанных в объявлении;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несоответствие представленных участником отбора документов и (или) заявки требованиям, установленным в объявлении;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недостоверность информации, содержащейся в документах, представленных участником отбора</w:t>
      </w:r>
      <w:r>
        <w:rPr>
          <w:rFonts w:ascii="Times New Roman" w:hAnsi="Times New Roman"/>
          <w:sz w:val="28"/>
        </w:rPr>
        <w:t xml:space="preserve"> в целях подтверждения соответствия требованиям, предусмотренным частью 7 на</w:t>
      </w:r>
      <w:r>
        <w:rPr>
          <w:rFonts w:ascii="Times New Roman" w:hAnsi="Times New Roman"/>
          <w:sz w:val="28"/>
          <w:highlight w:val="white"/>
        </w:rPr>
        <w:t xml:space="preserve">стоящего Порядка;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5) подача участником отбора заявки после даты и (или) времени, определенных для подачи заявок.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  <w:highlight w:val="white"/>
        </w:rPr>
        <w:t xml:space="preserve">) подача участником отбора документов, принятых раннее к учету в полном объеме при предоставлении субсидии.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66. По результатам рассмотрения заявок не позднее 1-го рабочего дня со дня окончания срока рассмотрения заявок подготавл</w:t>
      </w:r>
      <w:r>
        <w:rPr>
          <w:rFonts w:ascii="Times New Roman" w:hAnsi="Times New Roman"/>
          <w:sz w:val="28"/>
          <w:highlight w:val="white"/>
        </w:rPr>
        <w:t xml:space="preserve">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 для отклонения.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67. Протокол рассмотрения заявок формируется на едином портале автом</w:t>
      </w:r>
      <w:r>
        <w:rPr>
          <w:rFonts w:ascii="Times New Roman" w:hAnsi="Times New Roman"/>
          <w:sz w:val="28"/>
          <w:highlight w:val="white"/>
        </w:rPr>
        <w:t xml:space="preserve">атически на основании результатов рассмотрения заявок и подписывается усиленной квалифицированной электронной подписью Министра (уполномоченного им лица) в системе «Электронный бюджет», а также размещается на едином портале не позднее 1-го рабочего дня, сл</w:t>
      </w:r>
      <w:r>
        <w:rPr>
          <w:rFonts w:ascii="Times New Roman" w:hAnsi="Times New Roman"/>
          <w:sz w:val="28"/>
        </w:rPr>
        <w:t xml:space="preserve">едующего за днем его подписания.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68. Отбор признается несостоявшимся в следующих случаях: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1) по окончании срока подачи заявок не подано ни одной заявки;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2) по результатам рассмотрения заявок отклонены все заявки;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3) по результатам рассмотрения заявок только одна заявка соответствует требованиям, установленным в объявлении.</w:t>
      </w:r>
      <w:r>
        <w:rPr>
          <w:rFonts w:ascii="Times New Roman" w:hAnsi="Times New Roman"/>
          <w:sz w:val="20"/>
        </w:rPr>
        <w:t xml:space="preserve">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69. Соглашение заключается с участником отбора, признанного несостоявшимся, в случае если по результатам рассмотрения заявок единственная заявка признана соответствующей требованиям, установленным в объявлении.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70. Ранжирование поступивших заявок осуществляется исходя из очередности их поступления. 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highlight w:val="white"/>
        </w:rPr>
      </w:pPr>
      <w:r>
        <w:rPr>
          <w:rStyle w:val="632"/>
          <w:rFonts w:ascii="Times New Roman" w:hAnsi="Times New Roman"/>
          <w:sz w:val="28"/>
          <w:highlight w:val="white"/>
        </w:rPr>
        <w:t xml:space="preserve">71. Победителями отбора признаются участники отбора, включенные в рейтинг, сформированный Министерством по результатам ранжирования поступивших заявок.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  <w:highlight w:val="white"/>
        </w:rPr>
        <w:t xml:space="preserve">72. В целях завершения отбора и опр</w:t>
      </w:r>
      <w:r>
        <w:rPr>
          <w:rFonts w:ascii="Times New Roman" w:hAnsi="Times New Roman"/>
          <w:sz w:val="28"/>
          <w:highlight w:val="white"/>
        </w:rPr>
        <w:t xml:space="preserve">еделения победителей отбора формируется протокол подведения итогов отбора, включающий информацию о победителях отбора с указанием размера субсидии, предусмотренной им для предоставления, об отклонении заявок с указанием оснований для их отклонения.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73. Протокол подведения итогов отбора формируется на едином портале автоматически на основании результатов определен</w:t>
      </w:r>
      <w:r>
        <w:rPr>
          <w:rFonts w:ascii="Times New Roman" w:hAnsi="Times New Roman"/>
          <w:sz w:val="28"/>
          <w:highlight w:val="white"/>
        </w:rPr>
        <w:t xml:space="preserve">ия победителей отбора и подписывается усиленной квалифицированной электронной подписью Министра (уполномоченного им лица) в системе «Электронный бюджет», а также размещается на едином портале не позднее 1-го рабочего дня, следующего за днем его подписания.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</w:rPr>
        <w:t xml:space="preserve">74. Протокол подведения итогов отбора включает следующие сведения: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</w:rPr>
        <w:t xml:space="preserve">1) дату, время </w:t>
      </w:r>
      <w:r>
        <w:rPr>
          <w:rStyle w:val="632"/>
          <w:rFonts w:ascii="Times New Roman" w:hAnsi="Times New Roman"/>
          <w:sz w:val="28"/>
          <w:highlight w:val="white"/>
        </w:rPr>
        <w:t xml:space="preserve">и место проведения рассмотрения заявок;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  <w:highlight w:val="white"/>
        </w:rPr>
        <w:t xml:space="preserve">2) информацию об участниках отбора, заявки которых были рассмотрены;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  <w:highlight w:val="white"/>
        </w:rPr>
        <w:t xml:space="preserve">3) информацию об участниках отбора, заявки которых были отклонены, с указанием причин их отклонения, в том числе положений объявления, которым не соответствуют заявки;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  <w:highlight w:val="white"/>
        </w:rPr>
        <w:t xml:space="preserve">4) наименование получателя (получателей) субсидии, с которым заключается соглашение, и размер предоставляемой ему</w:t>
      </w:r>
      <w:r>
        <w:rPr>
          <w:rStyle w:val="632"/>
          <w:rFonts w:ascii="Times New Roman" w:hAnsi="Times New Roman"/>
          <w:sz w:val="28"/>
        </w:rPr>
        <w:t xml:space="preserve"> (им) су</w:t>
      </w:r>
      <w:r>
        <w:rPr>
          <w:rStyle w:val="632"/>
          <w:rFonts w:ascii="Times New Roman" w:hAnsi="Times New Roman"/>
          <w:sz w:val="28"/>
          <w:highlight w:val="white"/>
        </w:rPr>
        <w:t xml:space="preserve">бсидии.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Style w:val="632"/>
          <w:rFonts w:ascii="Times New Roman" w:hAnsi="Times New Roman"/>
          <w:sz w:val="28"/>
          <w:highlight w:val="white"/>
        </w:rPr>
        <w:t xml:space="preserve">75. По результатам отбора</w:t>
      </w:r>
      <w:r>
        <w:rPr>
          <w:rFonts w:ascii="Times New Roman" w:hAnsi="Times New Roman"/>
          <w:sz w:val="28"/>
          <w:highlight w:val="white"/>
        </w:rPr>
        <w:t xml:space="preserve"> Министерством с победителем (победителями) отбора заключается соглашение в порядке и сроки, установленные часть</w:t>
      </w:r>
      <w:r>
        <w:rPr>
          <w:rFonts w:ascii="Times New Roman" w:hAnsi="Times New Roman"/>
          <w:sz w:val="28"/>
        </w:rPr>
        <w:t xml:space="preserve">ю 79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76. В целях заключения соглашения,</w:t>
      </w:r>
      <w:r>
        <w:rPr>
          <w:rFonts w:ascii="Times New Roman" w:hAnsi="Times New Roman"/>
          <w:sz w:val="28"/>
          <w:highlight w:val="white"/>
        </w:rPr>
        <w:t xml:space="preserve"> победителем (победителями) отбора в системе «Электронный бюджет» уточняется 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 (при необходимости).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77. Соглашение формируется в форме</w:t>
      </w:r>
      <w:r>
        <w:rPr>
          <w:rFonts w:ascii="Times New Roman" w:hAnsi="Times New Roman"/>
          <w:sz w:val="28"/>
          <w:highlight w:val="white"/>
        </w:rPr>
        <w:t xml:space="preserve"> электронного документа, а также подписывается усиленными квалифицированными электронными подписями лиц, имеющих право действовать от имени каждой из сторон соглашения в системе «Электронный бюджет» с соблюдением требований о защите государственной тайны.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78. Заключение соглашения осуществляется в следующем порядке и сроки: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highlight w:val="white"/>
        </w:rPr>
      </w:pPr>
      <w:r>
        <w:rPr>
          <w:rFonts w:ascii="Times New Roman" w:hAnsi="Times New Roman"/>
          <w:sz w:val="28"/>
        </w:rPr>
        <w:t xml:space="preserve">1) Министерство в течение </w:t>
      </w:r>
      <w:r>
        <w:rPr>
          <w:rFonts w:ascii="Times New Roman" w:hAnsi="Times New Roman"/>
          <w:sz w:val="28"/>
          <w:highlight w:val="white"/>
        </w:rPr>
        <w:t xml:space="preserve">10 рабочих дней со дня формирования на едином портале протокола подведения итогов отбора в соответствии с частью 73 настоящего Порядка размещает проект соглашения в системе «Электронный бюджет»;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получатель субс</w:t>
      </w:r>
      <w:r>
        <w:rPr>
          <w:rFonts w:ascii="Times New Roman" w:hAnsi="Times New Roman"/>
          <w:sz w:val="28"/>
          <w:highlight w:val="white"/>
        </w:rPr>
        <w:t xml:space="preserve">идии в течение 10 рабочих дней со дня размещения проекта соглашения в системе «Электронный бюджет» подписывает проект соглашения усиленной квалифицированной электронной подписью. В случае если победитель отбора не подписал проект соглашения в течение 10 ра</w:t>
      </w:r>
      <w:r>
        <w:rPr>
          <w:rFonts w:ascii="Times New Roman" w:hAnsi="Times New Roman"/>
          <w:sz w:val="28"/>
        </w:rPr>
        <w:t xml:space="preserve">бочих дней со дня поступления проекта соглашения на подписание в систему «Электронный бюджет», то такой победитель отбора признается уклонившимся от заключения соглашения;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</w:rPr>
        <w:t xml:space="preserve">3) Министерство в течение 5 рабочих дней со дня подписания получателем субсидии соглашения усиленной квалифицированной электронной подписью, подписывает его со своей стороны усиленной квалифицированной электронной подписью в системе «Электронный бюджет»;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highlight w:val="white"/>
        </w:rPr>
      </w:pPr>
      <w:r>
        <w:rPr>
          <w:rFonts w:ascii="Times New Roman" w:hAnsi="Times New Roman"/>
          <w:sz w:val="28"/>
        </w:rPr>
        <w:t xml:space="preserve">4) соглашение считается заключенным после подписания его Министерством и победителем отбора</w:t>
      </w:r>
      <w:r>
        <w:rPr>
          <w:rFonts w:ascii="Times New Roman" w:hAnsi="Times New Roman"/>
          <w:sz w:val="28"/>
          <w:highlight w:val="white"/>
        </w:rPr>
        <w:t xml:space="preserve"> и регистрации в установленном порядке органами Федерального казначейства.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79. В случаях, предусмотренных законодательством Рос</w:t>
      </w:r>
      <w:r>
        <w:rPr>
          <w:rFonts w:ascii="Times New Roman" w:hAnsi="Times New Roman"/>
          <w:sz w:val="28"/>
          <w:highlight w:val="white"/>
        </w:rPr>
        <w:t xml:space="preserve">сийской Федерации и (или) законодательством Камчатского края, в соглашение могут быть внесены изменения. Внесение изменений в соглашение оформляется в виде дополнительного соглашения по типовой форме, утвержденной Министерством финансов Камчатского края. 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Министерство в течение 7 рабочих дней после дня принятия решения о заключении дополнительного соглашения, уведомляет получателей субсидии, с которыми заключено соглашение о данном намерении. </w:t>
      </w:r>
      <w:r/>
    </w:p>
    <w:p>
      <w:pPr>
        <w:pStyle w:val="599"/>
        <w:ind w:left="0"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Получа</w:t>
      </w:r>
      <w:r>
        <w:rPr>
          <w:rFonts w:ascii="Times New Roman" w:hAnsi="Times New Roman"/>
          <w:sz w:val="28"/>
          <w:highlight w:val="white"/>
        </w:rPr>
        <w:t xml:space="preserve">тель субсидии в течение 5 рабочих дней со дня получения уведомления, указанного в абзаце втором настоящей части, но не позднее 30 декабря текущего финансового года, организует подписание дополнительного соглашения посредством системы «Электронный бюджет». </w:t>
      </w:r>
      <w:r/>
    </w:p>
    <w:p>
      <w:pPr>
        <w:pStyle w:val="599"/>
        <w:ind w:left="0" w:firstLine="708"/>
        <w:jc w:val="both"/>
        <w:spacing w:before="0"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Министерство в течение 5 рабочих дней со дня получения подписанного получателем субсидии дополнительного соглашения к соглашению, но не позднее 30 декабря текущего финансового года, организует его подписание посредством системы «Электронный бюджет».».</w:t>
      </w:r>
      <w:r/>
    </w:p>
    <w:sectPr>
      <w:footnotePr/>
      <w:endnotePr/>
      <w:type w:val="nextPage"/>
      <w:pgSz w:w="11906" w:h="16838" w:orient="portrait"/>
      <w:pgMar w:top="1134" w:right="851" w:bottom="1134" w:left="1418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ohit Devanagari">
    <w:panose1 w:val="020B0600000000000000"/>
  </w:font>
  <w:font w:name="Open Sans">
    <w:panose1 w:val="020B0606030504020204"/>
  </w:font>
  <w:font w:name="Segoe UI">
    <w:panose1 w:val="020B0503020204020204"/>
  </w:font>
  <w:font w:name="XO Thames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599" w:default="1">
    <w:name w:val="Normal"/>
    <w:qFormat/>
    <w:pPr>
      <w:jc w:val="left"/>
      <w:spacing w:before="0" w:beforeAutospacing="0" w:after="160" w:afterAutospacing="0" w:line="264" w:lineRule="auto"/>
      <w:widowControl/>
    </w:pPr>
    <w:rPr>
      <w:rFonts w:ascii="Calibri" w:hAnsi="Calibri"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600">
    <w:name w:val="Heading 1"/>
    <w:uiPriority w:val="9"/>
    <w:qFormat/>
    <w:pPr>
      <w:jc w:val="both"/>
      <w:spacing w:before="120" w:beforeAutospacing="0" w:after="120" w:afterAutospacing="0" w:line="264" w:lineRule="auto"/>
      <w:widowControl/>
      <w:outlineLvl w:val="0"/>
    </w:pPr>
    <w:rPr>
      <w:rFonts w:ascii="XO Thames" w:hAnsi="XO Thames" w:eastAsia="Times New Roman" w:cs="Times New Roman"/>
      <w:b/>
      <w:color w:val="000000"/>
      <w:sz w:val="32"/>
      <w:szCs w:val="20"/>
      <w:lang w:val="ru-RU" w:eastAsia="ru-RU" w:bidi="ar-SA"/>
    </w:rPr>
  </w:style>
  <w:style w:type="paragraph" w:styleId="601">
    <w:name w:val="Heading 2"/>
    <w:uiPriority w:val="9"/>
    <w:qFormat/>
    <w:pPr>
      <w:jc w:val="both"/>
      <w:spacing w:before="120" w:beforeAutospacing="0" w:after="120" w:afterAutospacing="0" w:line="264" w:lineRule="auto"/>
      <w:widowControl/>
      <w:outlineLvl w:val="1"/>
    </w:pPr>
    <w:rPr>
      <w:rFonts w:ascii="XO Thames" w:hAnsi="XO Thames" w:eastAsia="Times New Roman" w:cs="Times New Roman"/>
      <w:b/>
      <w:color w:val="000000"/>
      <w:sz w:val="28"/>
      <w:szCs w:val="20"/>
      <w:lang w:val="ru-RU" w:eastAsia="ru-RU" w:bidi="ar-SA"/>
    </w:rPr>
  </w:style>
  <w:style w:type="paragraph" w:styleId="602">
    <w:name w:val="Heading 3"/>
    <w:uiPriority w:val="9"/>
    <w:qFormat/>
    <w:pPr>
      <w:jc w:val="both"/>
      <w:spacing w:before="120" w:beforeAutospacing="0" w:after="120" w:afterAutospacing="0" w:line="264" w:lineRule="auto"/>
      <w:widowControl/>
      <w:outlineLvl w:val="2"/>
    </w:pPr>
    <w:rPr>
      <w:rFonts w:ascii="XO Thames" w:hAnsi="XO Thames" w:eastAsia="Times New Roman" w:cs="Times New Roman"/>
      <w:b/>
      <w:color w:val="000000"/>
      <w:sz w:val="26"/>
      <w:szCs w:val="20"/>
      <w:lang w:val="ru-RU" w:eastAsia="ru-RU" w:bidi="ar-SA"/>
    </w:rPr>
  </w:style>
  <w:style w:type="paragraph" w:styleId="603">
    <w:name w:val="Heading 4"/>
    <w:uiPriority w:val="9"/>
    <w:qFormat/>
    <w:pPr>
      <w:jc w:val="both"/>
      <w:spacing w:before="120" w:beforeAutospacing="0" w:after="120" w:afterAutospacing="0" w:line="264" w:lineRule="auto"/>
      <w:widowControl/>
      <w:outlineLvl w:val="3"/>
    </w:pPr>
    <w:rPr>
      <w:rFonts w:ascii="XO Thames" w:hAnsi="XO Thames" w:eastAsia="Times New Roman" w:cs="Times New Roman"/>
      <w:b/>
      <w:color w:val="000000"/>
      <w:sz w:val="24"/>
      <w:szCs w:val="20"/>
      <w:lang w:val="ru-RU" w:eastAsia="ru-RU" w:bidi="ar-SA"/>
    </w:rPr>
  </w:style>
  <w:style w:type="paragraph" w:styleId="604">
    <w:name w:val="Heading 5"/>
    <w:uiPriority w:val="9"/>
    <w:qFormat/>
    <w:pPr>
      <w:jc w:val="both"/>
      <w:spacing w:before="120" w:beforeAutospacing="0" w:after="120" w:afterAutospacing="0" w:line="264" w:lineRule="auto"/>
      <w:widowControl/>
      <w:outlineLvl w:val="4"/>
    </w:pPr>
    <w:rPr>
      <w:rFonts w:ascii="XO Thames" w:hAnsi="XO Thames" w:eastAsia="Times New Roman" w:cs="Times New Roman"/>
      <w:b/>
      <w:color w:val="000000"/>
      <w:sz w:val="22"/>
      <w:szCs w:val="20"/>
      <w:lang w:val="ru-RU" w:eastAsia="ru-RU" w:bidi="ar-SA"/>
    </w:rPr>
  </w:style>
  <w:style w:type="paragraph" w:styleId="605">
    <w:name w:val="Heading 6"/>
    <w:basedOn w:val="5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06">
    <w:name w:val="Heading 7"/>
    <w:basedOn w:val="5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07">
    <w:name w:val="Heading 8"/>
    <w:basedOn w:val="5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08">
    <w:name w:val="Heading 9"/>
    <w:basedOn w:val="5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09">
    <w:name w:val="Heading 1 Char"/>
    <w:basedOn w:val="631"/>
    <w:uiPriority w:val="9"/>
    <w:qFormat/>
    <w:rPr>
      <w:rFonts w:ascii="Arial" w:hAnsi="Arial" w:eastAsia="Arial" w:cs="Arial"/>
      <w:sz w:val="40"/>
      <w:szCs w:val="40"/>
    </w:rPr>
  </w:style>
  <w:style w:type="character" w:styleId="610">
    <w:name w:val="Heading 2 Char"/>
    <w:basedOn w:val="631"/>
    <w:uiPriority w:val="9"/>
    <w:qFormat/>
    <w:rPr>
      <w:rFonts w:ascii="Arial" w:hAnsi="Arial" w:eastAsia="Arial" w:cs="Arial"/>
      <w:sz w:val="34"/>
    </w:rPr>
  </w:style>
  <w:style w:type="character" w:styleId="611">
    <w:name w:val="Heading 3 Char"/>
    <w:basedOn w:val="631"/>
    <w:uiPriority w:val="9"/>
    <w:qFormat/>
    <w:rPr>
      <w:rFonts w:ascii="Arial" w:hAnsi="Arial" w:eastAsia="Arial" w:cs="Arial"/>
      <w:sz w:val="30"/>
      <w:szCs w:val="30"/>
    </w:rPr>
  </w:style>
  <w:style w:type="character" w:styleId="612">
    <w:name w:val="Heading 4 Char"/>
    <w:basedOn w:val="63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13">
    <w:name w:val="Heading 5 Char"/>
    <w:basedOn w:val="63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4">
    <w:name w:val="Heading 6 Char"/>
    <w:basedOn w:val="63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15">
    <w:name w:val="Heading 7 Char"/>
    <w:basedOn w:val="63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16">
    <w:name w:val="Heading 8 Char"/>
    <w:basedOn w:val="63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17">
    <w:name w:val="Heading 9 Char"/>
    <w:basedOn w:val="63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18">
    <w:name w:val="Title Char"/>
    <w:basedOn w:val="631"/>
    <w:uiPriority w:val="10"/>
    <w:qFormat/>
    <w:rPr>
      <w:sz w:val="48"/>
      <w:szCs w:val="48"/>
    </w:rPr>
  </w:style>
  <w:style w:type="character" w:styleId="619">
    <w:name w:val="Subtitle Char"/>
    <w:basedOn w:val="631"/>
    <w:uiPriority w:val="11"/>
    <w:qFormat/>
    <w:rPr>
      <w:sz w:val="24"/>
      <w:szCs w:val="24"/>
    </w:rPr>
  </w:style>
  <w:style w:type="character" w:styleId="620">
    <w:name w:val="Quote Char"/>
    <w:uiPriority w:val="29"/>
    <w:qFormat/>
    <w:rPr>
      <w:i/>
    </w:rPr>
  </w:style>
  <w:style w:type="character" w:styleId="621">
    <w:name w:val="Intense Quote Char"/>
    <w:uiPriority w:val="30"/>
    <w:qFormat/>
    <w:rPr>
      <w:i/>
    </w:rPr>
  </w:style>
  <w:style w:type="character" w:styleId="622">
    <w:name w:val="Header Char"/>
    <w:basedOn w:val="631"/>
    <w:uiPriority w:val="99"/>
    <w:qFormat/>
  </w:style>
  <w:style w:type="character" w:styleId="623">
    <w:name w:val="Footer Char"/>
    <w:basedOn w:val="631"/>
    <w:uiPriority w:val="99"/>
    <w:qFormat/>
  </w:style>
  <w:style w:type="character" w:styleId="624">
    <w:name w:val="Caption Char"/>
    <w:uiPriority w:val="99"/>
    <w:qFormat/>
  </w:style>
  <w:style w:type="character" w:styleId="625">
    <w:name w:val="Footnote Text Char"/>
    <w:uiPriority w:val="99"/>
    <w:qFormat/>
    <w:rPr>
      <w:sz w:val="18"/>
    </w:rPr>
  </w:style>
  <w:style w:type="character" w:styleId="626">
    <w:name w:val="Символ сноски"/>
    <w:uiPriority w:val="99"/>
    <w:unhideWhenUsed/>
    <w:qFormat/>
    <w:rPr>
      <w:vertAlign w:val="superscript"/>
    </w:rPr>
  </w:style>
  <w:style w:type="character" w:styleId="627">
    <w:name w:val="footnote reference"/>
    <w:rPr>
      <w:vertAlign w:val="superscript"/>
    </w:rPr>
  </w:style>
  <w:style w:type="character" w:styleId="628">
    <w:name w:val="Endnote Text Char"/>
    <w:uiPriority w:val="99"/>
    <w:qFormat/>
    <w:rPr>
      <w:sz w:val="20"/>
    </w:rPr>
  </w:style>
  <w:style w:type="character" w:styleId="62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30">
    <w:name w:val="endnote reference"/>
    <w:rPr>
      <w:vertAlign w:val="superscript"/>
    </w:rPr>
  </w:style>
  <w:style w:type="character" w:styleId="631" w:default="1">
    <w:name w:val="Default Paragraph Font"/>
    <w:uiPriority w:val="1"/>
    <w:semiHidden/>
    <w:unhideWhenUsed/>
    <w:qFormat/>
  </w:style>
  <w:style w:type="character" w:styleId="632" w:customStyle="1">
    <w:name w:val="Обычный1"/>
    <w:qFormat/>
  </w:style>
  <w:style w:type="character" w:styleId="633" w:customStyle="1">
    <w:name w:val="Оглавление 2 Знак"/>
    <w:qFormat/>
    <w:rPr>
      <w:rFonts w:ascii="XO Thames" w:hAnsi="XO Thames"/>
      <w:sz w:val="28"/>
    </w:rPr>
  </w:style>
  <w:style w:type="character" w:styleId="634" w:customStyle="1">
    <w:name w:val="Оглавление 4 Знак"/>
    <w:qFormat/>
    <w:rPr>
      <w:rFonts w:ascii="XO Thames" w:hAnsi="XO Thames"/>
      <w:sz w:val="28"/>
    </w:rPr>
  </w:style>
  <w:style w:type="character" w:styleId="635" w:customStyle="1">
    <w:name w:val="Верхний колонтитул Знак"/>
    <w:basedOn w:val="632"/>
    <w:qFormat/>
  </w:style>
  <w:style w:type="character" w:styleId="636" w:customStyle="1">
    <w:name w:val="Оглавление 6 Знак"/>
    <w:qFormat/>
    <w:rPr>
      <w:rFonts w:ascii="XO Thames" w:hAnsi="XO Thames"/>
      <w:sz w:val="28"/>
    </w:rPr>
  </w:style>
  <w:style w:type="character" w:styleId="637" w:customStyle="1">
    <w:name w:val="Оглавление 7 Знак"/>
    <w:qFormat/>
    <w:rPr>
      <w:rFonts w:ascii="XO Thames" w:hAnsi="XO Thames"/>
      <w:sz w:val="28"/>
    </w:rPr>
  </w:style>
  <w:style w:type="character" w:styleId="638" w:customStyle="1">
    <w:name w:val="Заголовок 3 Знак"/>
    <w:qFormat/>
    <w:rPr>
      <w:rFonts w:ascii="XO Thames" w:hAnsi="XO Thames"/>
      <w:b/>
      <w:sz w:val="26"/>
    </w:rPr>
  </w:style>
  <w:style w:type="character" w:styleId="639" w:customStyle="1">
    <w:name w:val="Текст Знак"/>
    <w:basedOn w:val="632"/>
    <w:qFormat/>
    <w:rPr>
      <w:rFonts w:ascii="Calibri" w:hAnsi="Calibri"/>
    </w:rPr>
  </w:style>
  <w:style w:type="character" w:styleId="640" w:customStyle="1">
    <w:name w:val="Оглавление 3 Знак"/>
    <w:qFormat/>
    <w:rPr>
      <w:rFonts w:ascii="XO Thames" w:hAnsi="XO Thames"/>
      <w:sz w:val="28"/>
    </w:rPr>
  </w:style>
  <w:style w:type="character" w:styleId="641" w:customStyle="1">
    <w:name w:val="Заголовок 5 Знак"/>
    <w:qFormat/>
    <w:rPr>
      <w:rFonts w:ascii="XO Thames" w:hAnsi="XO Thames"/>
      <w:b/>
      <w:sz w:val="22"/>
    </w:rPr>
  </w:style>
  <w:style w:type="character" w:styleId="642" w:customStyle="1">
    <w:name w:val="Заголовок 1 Знак"/>
    <w:qFormat/>
    <w:rPr>
      <w:rFonts w:ascii="XO Thames" w:hAnsi="XO Thames"/>
      <w:b/>
      <w:sz w:val="32"/>
    </w:rPr>
  </w:style>
  <w:style w:type="character" w:styleId="643">
    <w:name w:val="Hyperlink"/>
    <w:basedOn w:val="631"/>
    <w:rPr>
      <w:color w:val="0563c1" w:themeColor="hyperlink"/>
      <w:u w:val="single"/>
    </w:rPr>
  </w:style>
  <w:style w:type="character" w:styleId="644" w:customStyle="1">
    <w:name w:val="Footnote"/>
    <w:qFormat/>
    <w:rPr>
      <w:rFonts w:ascii="XO Thames" w:hAnsi="XO Thames"/>
      <w:sz w:val="22"/>
    </w:rPr>
  </w:style>
  <w:style w:type="character" w:styleId="645" w:customStyle="1">
    <w:name w:val="Оглавление 1 Знак"/>
    <w:qFormat/>
    <w:rPr>
      <w:rFonts w:ascii="XO Thames" w:hAnsi="XO Thames"/>
      <w:b/>
      <w:sz w:val="28"/>
    </w:rPr>
  </w:style>
  <w:style w:type="character" w:styleId="646" w:customStyle="1">
    <w:name w:val="Header and Footer"/>
    <w:qFormat/>
    <w:rPr>
      <w:rFonts w:ascii="XO Thames" w:hAnsi="XO Thames"/>
      <w:sz w:val="20"/>
    </w:rPr>
  </w:style>
  <w:style w:type="character" w:styleId="647" w:customStyle="1">
    <w:name w:val="Оглавление 9 Знак"/>
    <w:qFormat/>
    <w:rPr>
      <w:rFonts w:ascii="XO Thames" w:hAnsi="XO Thames"/>
      <w:sz w:val="28"/>
    </w:rPr>
  </w:style>
  <w:style w:type="character" w:styleId="648" w:customStyle="1">
    <w:name w:val="Оглавление 8 Знак"/>
    <w:qFormat/>
    <w:rPr>
      <w:rFonts w:ascii="XO Thames" w:hAnsi="XO Thames"/>
      <w:sz w:val="28"/>
    </w:rPr>
  </w:style>
  <w:style w:type="character" w:styleId="649" w:customStyle="1">
    <w:name w:val="Оглавление 5 Знак"/>
    <w:qFormat/>
    <w:rPr>
      <w:rFonts w:ascii="XO Thames" w:hAnsi="XO Thames"/>
      <w:sz w:val="28"/>
    </w:rPr>
  </w:style>
  <w:style w:type="character" w:styleId="650" w:customStyle="1">
    <w:name w:val="Подзаголовок Знак"/>
    <w:qFormat/>
    <w:rPr>
      <w:rFonts w:ascii="XO Thames" w:hAnsi="XO Thames"/>
      <w:i/>
      <w:sz w:val="24"/>
    </w:rPr>
  </w:style>
  <w:style w:type="character" w:styleId="651" w:customStyle="1">
    <w:name w:val="Нижний колонтитул Знак"/>
    <w:basedOn w:val="632"/>
    <w:qFormat/>
    <w:rPr>
      <w:rFonts w:ascii="Times New Roman" w:hAnsi="Times New Roman"/>
      <w:sz w:val="28"/>
    </w:rPr>
  </w:style>
  <w:style w:type="character" w:styleId="652" w:customStyle="1">
    <w:name w:val="Название Знак"/>
    <w:qFormat/>
    <w:rPr>
      <w:rFonts w:ascii="XO Thames" w:hAnsi="XO Thames"/>
      <w:b/>
      <w:caps/>
      <w:sz w:val="40"/>
    </w:rPr>
  </w:style>
  <w:style w:type="character" w:styleId="653" w:customStyle="1">
    <w:name w:val="Текст выноски Знак"/>
    <w:basedOn w:val="632"/>
    <w:qFormat/>
    <w:rPr>
      <w:rFonts w:ascii="Segoe UI" w:hAnsi="Segoe UI"/>
      <w:sz w:val="18"/>
    </w:rPr>
  </w:style>
  <w:style w:type="character" w:styleId="654" w:customStyle="1">
    <w:name w:val="Заголовок 4 Знак"/>
    <w:qFormat/>
    <w:rPr>
      <w:rFonts w:ascii="XO Thames" w:hAnsi="XO Thames"/>
      <w:b/>
      <w:sz w:val="24"/>
    </w:rPr>
  </w:style>
  <w:style w:type="character" w:styleId="655" w:customStyle="1">
    <w:name w:val="Заголовок 2 Знак"/>
    <w:qFormat/>
    <w:rPr>
      <w:rFonts w:ascii="XO Thames" w:hAnsi="XO Thames"/>
      <w:b/>
      <w:sz w:val="28"/>
    </w:rPr>
  </w:style>
  <w:style w:type="character" w:styleId="656" w:customStyle="1">
    <w:name w:val="Гиперссылка3"/>
    <w:qFormat/>
    <w:rPr>
      <w:color w:val="0000ff"/>
      <w:u w:val="single"/>
    </w:rPr>
  </w:style>
  <w:style w:type="paragraph" w:styleId="657">
    <w:name w:val="Заголовок"/>
    <w:basedOn w:val="599"/>
    <w:next w:val="658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658">
    <w:name w:val="Body Text"/>
    <w:basedOn w:val="599"/>
    <w:pPr>
      <w:spacing w:before="0" w:after="140" w:line="276" w:lineRule="auto"/>
    </w:pPr>
  </w:style>
  <w:style w:type="paragraph" w:styleId="659">
    <w:name w:val="List"/>
    <w:basedOn w:val="658"/>
    <w:rPr>
      <w:rFonts w:cs="Lohit Devanagari"/>
    </w:rPr>
  </w:style>
  <w:style w:type="paragraph" w:styleId="660">
    <w:name w:val="Caption"/>
    <w:basedOn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661">
    <w:name w:val="Указатель"/>
    <w:basedOn w:val="599"/>
    <w:qFormat/>
    <w:pPr>
      <w:suppressLineNumbers/>
    </w:pPr>
    <w:rPr>
      <w:rFonts w:cs="Lohit Devanagari"/>
    </w:rPr>
  </w:style>
  <w:style w:type="paragraph" w:styleId="662">
    <w:name w:val="List Paragraph"/>
    <w:basedOn w:val="599"/>
    <w:uiPriority w:val="34"/>
    <w:qFormat/>
    <w:pPr>
      <w:contextualSpacing/>
      <w:ind w:left="720"/>
      <w:spacing w:before="0" w:after="160"/>
    </w:pPr>
  </w:style>
  <w:style w:type="paragraph" w:styleId="663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664">
    <w:name w:val="Quote"/>
    <w:basedOn w:val="599"/>
    <w:uiPriority w:val="29"/>
    <w:qFormat/>
    <w:pPr>
      <w:ind w:left="720" w:right="720"/>
    </w:pPr>
    <w:rPr>
      <w:i/>
    </w:rPr>
  </w:style>
  <w:style w:type="paragraph" w:styleId="665">
    <w:name w:val="Intense Quote"/>
    <w:basedOn w:val="599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66">
    <w:name w:val="footnote text"/>
    <w:basedOn w:val="599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67">
    <w:name w:val="endnote text"/>
    <w:basedOn w:val="59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68">
    <w:name w:val="Index Heading"/>
    <w:basedOn w:val="657"/>
  </w:style>
  <w:style w:type="paragraph" w:styleId="669">
    <w:name w:val="TOC Heading"/>
    <w:uiPriority w:val="39"/>
    <w:unhideWhenUsed/>
    <w:qFormat/>
    <w:pPr>
      <w:jc w:val="left"/>
      <w:spacing w:before="0" w:beforeAutospacing="0" w:after="160" w:afterAutospacing="0" w:line="264" w:lineRule="auto"/>
      <w:widowControl/>
    </w:pPr>
    <w:rPr>
      <w:rFonts w:ascii="Calibri" w:hAnsi="Calibri"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670">
    <w:name w:val="table of figures"/>
    <w:basedOn w:val="599"/>
    <w:uiPriority w:val="99"/>
    <w:unhideWhenUsed/>
    <w:pPr>
      <w:spacing w:before="0" w:after="0" w:afterAutospacing="0"/>
    </w:pPr>
  </w:style>
  <w:style w:type="paragraph" w:styleId="671">
    <w:name w:val="toc 2"/>
    <w:uiPriority w:val="39"/>
    <w:pPr>
      <w:ind w:left="2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672">
    <w:name w:val="toc 4"/>
    <w:uiPriority w:val="39"/>
    <w:pPr>
      <w:ind w:left="6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673" w:customStyle="1">
    <w:name w:val="Колонтитул"/>
    <w:qFormat/>
    <w:pPr>
      <w:jc w:val="both"/>
      <w:spacing w:before="0" w:beforeAutospacing="0" w:after="160" w:afterAutospacing="0" w:line="240" w:lineRule="auto"/>
      <w:widowControl/>
    </w:pPr>
    <w:rPr>
      <w:rFonts w:ascii="XO Thames" w:hAnsi="XO Thames" w:eastAsia="Times New Roman" w:cs="Times New Roman"/>
      <w:color w:val="000000"/>
      <w:sz w:val="20"/>
      <w:szCs w:val="20"/>
      <w:lang w:val="ru-RU" w:eastAsia="ru-RU" w:bidi="ar-SA"/>
    </w:rPr>
  </w:style>
  <w:style w:type="paragraph" w:styleId="674">
    <w:name w:val="Header"/>
    <w:basedOn w:val="599"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75">
    <w:name w:val="toc 6"/>
    <w:uiPriority w:val="39"/>
    <w:pPr>
      <w:ind w:left="10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676">
    <w:name w:val="toc 7"/>
    <w:uiPriority w:val="39"/>
    <w:pPr>
      <w:ind w:left="12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677">
    <w:name w:val="Plain Text"/>
    <w:basedOn w:val="599"/>
    <w:qFormat/>
    <w:pPr>
      <w:spacing w:before="0" w:after="0" w:line="240" w:lineRule="auto"/>
    </w:pPr>
    <w:rPr>
      <w:rFonts w:ascii="Calibri" w:hAnsi="Calibri"/>
    </w:rPr>
  </w:style>
  <w:style w:type="paragraph" w:styleId="678">
    <w:name w:val="toc 3"/>
    <w:uiPriority w:val="39"/>
    <w:pPr>
      <w:ind w:left="4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679" w:customStyle="1">
    <w:name w:val="Гиперссылка1"/>
    <w:qFormat/>
    <w:pPr>
      <w:jc w:val="left"/>
      <w:spacing w:before="0" w:beforeAutospacing="0" w:after="160" w:afterAutospacing="0" w:line="264" w:lineRule="auto"/>
      <w:widowControl/>
    </w:pPr>
    <w:rPr>
      <w:rFonts w:ascii="Calibri" w:hAnsi="Calibri" w:eastAsia="Times New Roman" w:cs="Times New Roman"/>
      <w:color w:val="0563c1" w:themeColor="hyperlink"/>
      <w:sz w:val="22"/>
      <w:szCs w:val="20"/>
      <w:u w:val="single"/>
      <w:lang w:val="ru-RU" w:eastAsia="ru-RU" w:bidi="ar-SA"/>
    </w:rPr>
  </w:style>
  <w:style w:type="paragraph" w:styleId="680" w:customStyle="1">
    <w:name w:val="Footnote1"/>
    <w:qFormat/>
    <w:pPr>
      <w:ind w:firstLine="851"/>
      <w:jc w:val="both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2"/>
      <w:szCs w:val="20"/>
      <w:lang w:val="ru-RU" w:eastAsia="ru-RU" w:bidi="ar-SA"/>
    </w:rPr>
  </w:style>
  <w:style w:type="paragraph" w:styleId="681">
    <w:name w:val="toc 1"/>
    <w:uiPriority w:val="39"/>
    <w:pPr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b/>
      <w:color w:val="000000"/>
      <w:sz w:val="28"/>
      <w:szCs w:val="20"/>
      <w:lang w:val="ru-RU" w:eastAsia="ru-RU" w:bidi="ar-SA"/>
    </w:rPr>
  </w:style>
  <w:style w:type="paragraph" w:styleId="682" w:customStyle="1">
    <w:name w:val="Основной шрифт абзаца1"/>
    <w:qFormat/>
    <w:pPr>
      <w:jc w:val="left"/>
      <w:spacing w:before="0" w:beforeAutospacing="0" w:after="160" w:afterAutospacing="0" w:line="264" w:lineRule="auto"/>
      <w:widowControl/>
    </w:pPr>
    <w:rPr>
      <w:rFonts w:ascii="Calibri" w:hAnsi="Calibri"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683">
    <w:name w:val="toc 9"/>
    <w:uiPriority w:val="39"/>
    <w:pPr>
      <w:ind w:left="16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684">
    <w:name w:val="toc 8"/>
    <w:uiPriority w:val="39"/>
    <w:pPr>
      <w:ind w:left="14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685">
    <w:name w:val="toc 5"/>
    <w:uiPriority w:val="39"/>
    <w:pPr>
      <w:ind w:left="8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686">
    <w:name w:val="Subtitle"/>
    <w:uiPriority w:val="11"/>
    <w:qFormat/>
    <w:pPr>
      <w:jc w:val="both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i/>
      <w:color w:val="000000"/>
      <w:sz w:val="24"/>
      <w:szCs w:val="20"/>
      <w:lang w:val="ru-RU" w:eastAsia="ru-RU" w:bidi="ar-SA"/>
    </w:rPr>
  </w:style>
  <w:style w:type="paragraph" w:styleId="687">
    <w:name w:val="Footer"/>
    <w:basedOn w:val="599"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paragraph" w:styleId="688">
    <w:name w:val="Title"/>
    <w:uiPriority w:val="10"/>
    <w:qFormat/>
    <w:pPr>
      <w:jc w:val="center"/>
      <w:spacing w:before="567" w:beforeAutospacing="0" w:after="567" w:afterAutospacing="0" w:line="264" w:lineRule="auto"/>
      <w:widowControl/>
    </w:pPr>
    <w:rPr>
      <w:rFonts w:ascii="XO Thames" w:hAnsi="XO Thames" w:eastAsia="Times New Roman" w:cs="Times New Roman"/>
      <w:b/>
      <w:caps/>
      <w:color w:val="000000"/>
      <w:sz w:val="40"/>
      <w:szCs w:val="20"/>
      <w:lang w:val="ru-RU" w:eastAsia="ru-RU" w:bidi="ar-SA"/>
    </w:rPr>
  </w:style>
  <w:style w:type="paragraph" w:styleId="689">
    <w:name w:val="Balloon Text"/>
    <w:basedOn w:val="599"/>
    <w:qFormat/>
    <w:pPr>
      <w:spacing w:before="0" w:after="0" w:line="240" w:lineRule="auto"/>
    </w:pPr>
    <w:rPr>
      <w:rFonts w:ascii="Segoe UI" w:hAnsi="Segoe UI"/>
      <w:sz w:val="18"/>
    </w:rPr>
  </w:style>
  <w:style w:type="paragraph" w:styleId="690" w:customStyle="1">
    <w:name w:val="ConsPlusNormal"/>
    <w:qFormat/>
    <w:pPr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u w:val="none"/>
      <w:vertAlign w:val="baseline"/>
      <w:lang w:val="en-US" w:eastAsia="zh-CN" w:bidi="ar-SA"/>
      <w14:ligatures w14:val="none"/>
    </w:rPr>
  </w:style>
  <w:style w:type="numbering" w:styleId="691" w:default="1">
    <w:name w:val="No List"/>
    <w:uiPriority w:val="99"/>
    <w:semiHidden/>
    <w:unhideWhenUsed/>
    <w:qFormat/>
  </w:style>
  <w:style w:type="table" w:styleId="21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HP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15</cp:revision>
  <dcterms:created xsi:type="dcterms:W3CDTF">2023-05-02T08:03:00Z</dcterms:created>
  <dcterms:modified xsi:type="dcterms:W3CDTF">2024-11-08T01:48:32Z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