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Памятка для граждан, участвующих в программе догазификации </w:t>
      </w:r>
    </w:p>
    <w:p>
      <w:pPr>
        <w:pStyle w:val="Normal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Камчатского края</w:t>
      </w:r>
    </w:p>
    <w:p>
      <w:pPr>
        <w:pStyle w:val="Normal"/>
        <w:spacing w:before="0" w:after="0"/>
        <w:ind w:firstLine="709"/>
        <w:contextualSpacing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spacing w:before="0" w:after="0"/>
        <w:ind w:firstLine="709"/>
        <w:contextualSpacing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spacing w:before="0" w:after="0"/>
        <w:ind w:firstLine="709"/>
        <w:contextualSpacing/>
        <w:jc w:val="both"/>
        <w:rPr>
          <w:color w:val="auto"/>
        </w:rPr>
      </w:pPr>
      <w:r>
        <w:rPr>
          <w:b/>
          <w:bCs/>
          <w:color w:val="auto"/>
        </w:rPr>
        <w:t>Догазификация</w:t>
      </w:r>
      <w:r>
        <w:rPr>
          <w:color w:val="auto"/>
        </w:rPr>
        <w:t xml:space="preserve"> — подведение газа до границ земельного участка в газифицированных населенных пунктах, в которых проложены газораспределительные сети и осуществляется транспортировка газа, без привлечения средств граждан.</w:t>
      </w:r>
    </w:p>
    <w:p>
      <w:pPr>
        <w:pStyle w:val="Normal"/>
        <w:spacing w:before="0" w:after="0"/>
        <w:ind w:firstLine="709"/>
        <w:contextualSpacing/>
        <w:jc w:val="both"/>
        <w:rPr>
          <w:color w:val="auto"/>
        </w:rPr>
      </w:pPr>
      <w:r>
        <w:rPr>
          <w:color w:val="auto"/>
        </w:rPr>
        <w:t>Технологическое присоединение домовладения к газораспределительной сети производится в соответствии с 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утвержденными Постановлением Правительства РФ № 1547 от 13.09.2021 «Об утверждении Правил подключения (технологического присоединения) газоиспользующего оборудования и объектов капитального строительства» (далее — Правила).</w:t>
      </w:r>
    </w:p>
    <w:p>
      <w:pPr>
        <w:pStyle w:val="Normal"/>
        <w:spacing w:before="0" w:after="0"/>
        <w:ind w:firstLine="709"/>
        <w:contextualSpacing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spacing w:before="0" w:after="0"/>
        <w:ind w:firstLine="709"/>
        <w:contextualSpacing/>
        <w:jc w:val="both"/>
        <w:rPr>
          <w:color w:val="auto"/>
        </w:rPr>
      </w:pPr>
      <w:r>
        <w:rPr>
          <w:b/>
          <w:bCs/>
          <w:color w:val="auto"/>
        </w:rPr>
        <w:t>Шаг 1.</w:t>
      </w:r>
      <w:r>
        <w:rPr>
          <w:color w:val="auto"/>
        </w:rPr>
        <w:t xml:space="preserve"> Подача заявки на подключение (технологическое присоединение) к сетям газораспределения.</w:t>
      </w:r>
    </w:p>
    <w:p>
      <w:pPr>
        <w:pStyle w:val="Normal"/>
        <w:spacing w:before="0" w:after="0"/>
        <w:ind w:firstLine="709"/>
        <w:contextualSpacing/>
        <w:jc w:val="both"/>
        <w:rPr>
          <w:color w:val="auto"/>
        </w:rPr>
      </w:pPr>
      <w:r>
        <w:rPr>
          <w:color w:val="auto"/>
        </w:rPr>
        <w:t>Заявку на подключение к газораспределительным сетям можно подать:</w:t>
      </w:r>
    </w:p>
    <w:p>
      <w:pPr>
        <w:pStyle w:val="Normal"/>
        <w:spacing w:before="0" w:after="0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– </w:t>
      </w:r>
      <w:r>
        <w:rPr>
          <w:color w:val="auto"/>
        </w:rPr>
        <w:t>в администрации Елизовского городского поселения по адресу: г. Елизово, ул. В. Кручины, д. 20, каб. 105. Режим работы: Пн - Чт: с 08:30 до 18:00, перерыв с 12:30 до 14:00, Пт: с 08:30 до 17:30 перерыв с 12:30 до 13:30. Телефон для справок: +7 (41531) 6-13-55;</w:t>
      </w:r>
    </w:p>
    <w:p>
      <w:pPr>
        <w:pStyle w:val="Normal"/>
        <w:spacing w:before="0" w:after="0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– </w:t>
      </w:r>
      <w:r>
        <w:rPr>
          <w:color w:val="auto"/>
        </w:rPr>
        <w:t xml:space="preserve">в ремонтно-эксплуатационной службе Камчатского края АО «Газпром газораспределение Дальний Восток» по адресу: 683006, г. Петропавловск-Камчатский, </w:t>
      </w:r>
      <w:r>
        <w:rPr>
          <w:color w:val="000000"/>
          <w:shd w:fill="auto" w:val="clear"/>
        </w:rPr>
        <w:t>ул. Дальневосточная, д. 33,</w:t>
      </w:r>
      <w:r>
        <w:rPr>
          <w:color w:val="auto"/>
        </w:rPr>
        <w:t xml:space="preserve"> телефон для справок 8 800 700-44-99 (Центр оказания услуг), +7 (4152) 25-79-67;</w:t>
      </w:r>
    </w:p>
    <w:p>
      <w:pPr>
        <w:pStyle w:val="Normal"/>
        <w:spacing w:before="0" w:after="0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– </w:t>
      </w:r>
      <w:r>
        <w:rPr>
          <w:color w:val="auto"/>
        </w:rPr>
        <w:t>на сайте Единого оператора газификации (https://connectgas.ru);</w:t>
      </w:r>
    </w:p>
    <w:p>
      <w:pPr>
        <w:pStyle w:val="Normal"/>
        <w:spacing w:before="0" w:after="0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– </w:t>
      </w:r>
      <w:r>
        <w:rPr>
          <w:color w:val="auto"/>
        </w:rPr>
        <w:t>через Портал государственных и муниципальных услуг Российской Федерации (gosuslugi.ru);</w:t>
      </w:r>
    </w:p>
    <w:p>
      <w:pPr>
        <w:pStyle w:val="Normal"/>
        <w:spacing w:before="0" w:after="0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– </w:t>
      </w:r>
      <w:r>
        <w:rPr>
          <w:color w:val="auto"/>
        </w:rPr>
        <w:t xml:space="preserve">в отделении МФЦ по адресу: г. Петропавловск-Камчатский, ул. Савченко, </w:t>
        <w:br/>
        <w:t>д. 23.</w:t>
      </w:r>
    </w:p>
    <w:p>
      <w:pPr>
        <w:pStyle w:val="Normal"/>
        <w:spacing w:before="0" w:after="0"/>
        <w:ind w:firstLine="709"/>
        <w:contextualSpacing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spacing w:before="0" w:after="0"/>
        <w:ind w:hanging="0"/>
        <w:contextualSpacing/>
        <w:jc w:val="both"/>
        <w:rPr>
          <w:color w:val="auto"/>
        </w:rPr>
      </w:pPr>
      <w:r>
        <w:rPr>
          <w:color w:val="auto"/>
        </w:rPr>
        <w:tab/>
      </w:r>
      <w:r>
        <w:rPr>
          <w:b/>
          <w:bCs/>
          <w:color w:val="auto"/>
        </w:rPr>
        <w:t>Шаг 2.</w:t>
      </w:r>
      <w:r>
        <w:rPr>
          <w:color w:val="auto"/>
        </w:rPr>
        <w:t xml:space="preserve"> Заключение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 по типовой форме согласно приложению </w:t>
        <w:br/>
        <w:t>№ 2 Правил (далее – договор о подключении) с приложением технических условий, являющихся неотъемлемой частью договора о подключении;</w:t>
      </w:r>
    </w:p>
    <w:p>
      <w:pPr>
        <w:pStyle w:val="Normal"/>
        <w:spacing w:before="0" w:after="0"/>
        <w:ind w:hanging="0"/>
        <w:contextualSpacing/>
        <w:jc w:val="both"/>
        <w:rPr>
          <w:color w:val="auto"/>
        </w:rPr>
      </w:pPr>
      <w:r>
        <w:rPr>
          <w:color w:val="auto"/>
        </w:rPr>
        <w:tab/>
      </w:r>
      <w:r>
        <w:rPr>
          <w:b/>
          <w:bCs/>
          <w:color w:val="auto"/>
        </w:rPr>
        <w:t>Шаг 3.</w:t>
      </w:r>
      <w:r>
        <w:rPr>
          <w:color w:val="auto"/>
        </w:rPr>
        <w:t xml:space="preserve"> Выполнение заявителем и исполнителем условий договора о подключении;</w:t>
      </w:r>
    </w:p>
    <w:p>
      <w:pPr>
        <w:pStyle w:val="Normal"/>
        <w:spacing w:before="0" w:after="0"/>
        <w:ind w:hanging="0"/>
        <w:contextualSpacing/>
        <w:jc w:val="both"/>
        <w:rPr>
          <w:color w:val="auto"/>
        </w:rPr>
      </w:pPr>
      <w:r>
        <w:rPr>
          <w:color w:val="auto"/>
        </w:rPr>
        <w:tab/>
      </w:r>
      <w:r>
        <w:rPr>
          <w:b/>
          <w:bCs/>
          <w:color w:val="auto"/>
        </w:rPr>
        <w:t>Шаг 4.</w:t>
      </w:r>
      <w:r>
        <w:rPr>
          <w:color w:val="auto"/>
        </w:rPr>
        <w:t xml:space="preserve"> Составление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по типовой форме согласно приложению № 3;</w:t>
      </w:r>
    </w:p>
    <w:p>
      <w:pPr>
        <w:pStyle w:val="Normal"/>
        <w:spacing w:before="0" w:after="0"/>
        <w:ind w:hanging="0"/>
        <w:contextualSpacing/>
        <w:jc w:val="both"/>
        <w:rPr>
          <w:color w:val="auto"/>
        </w:rPr>
      </w:pPr>
      <w:r>
        <w:rPr>
          <w:color w:val="auto"/>
        </w:rPr>
        <w:tab/>
      </w:r>
      <w:r>
        <w:rPr>
          <w:b/>
          <w:bCs/>
          <w:color w:val="auto"/>
        </w:rPr>
        <w:t>Шаг 5.</w:t>
      </w:r>
      <w:r>
        <w:rPr>
          <w:color w:val="auto"/>
        </w:rPr>
        <w:t xml:space="preserve"> Осуществление исполнителем фактического присоединения и составление акта о подключении (технологическом присоединении), содержащего информацию о разграничении имущественной принадлежности и эксплуатационной ответственности сторон по типовой форме согласно приложению № 4.</w:t>
      </w:r>
    </w:p>
    <w:p>
      <w:pPr>
        <w:pStyle w:val="Normal"/>
        <w:spacing w:before="0" w:after="0"/>
        <w:ind w:firstLine="709"/>
        <w:contextualSpacing/>
        <w:jc w:val="both"/>
        <w:rPr>
          <w:color w:val="auto"/>
        </w:rPr>
      </w:pPr>
      <w:r>
        <w:rPr>
          <w:color w:val="auto"/>
        </w:rPr>
        <w:t>В соответствии с п. 12 Правил Заявитель вправе обратиться к исполнителю по договору на присоединение с просьбой осуществить мероприятия по подключению (технологическому присоединению) в пределах границ его земельного участка, и (или) по проектированию сети газопотребления, и (или) по установке газоиспользующего оборудования, и (или) по строительству либо реконструкции внутреннего газопровода объекта капитального строительства, и (или) по установке прибора учета газа, и (или) по поставке газоиспользующего оборудования, и (или) по поставке прибора учета газа.</w:t>
      </w:r>
    </w:p>
    <w:p>
      <w:pPr>
        <w:pStyle w:val="Normal"/>
        <w:spacing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color w:val="000000"/>
          <w:shd w:fill="auto" w:val="clear"/>
        </w:rPr>
        <w:t>Получить дополнительные разъяснения и консультации по вопросам, касающимся газоснабжения Камчатского края, Вы можете в КГКУ «Региональный центр развития энергетики и энергосбережения» по телефону: + 7(4152) 42-06-56,  доб. 6051, а также по адресу: г. Петропавловск-Камчатский, пр.</w:t>
      </w:r>
      <w:bookmarkStart w:id="0" w:name="_GoBack"/>
      <w:bookmarkEnd w:id="0"/>
      <w:r>
        <w:rPr>
          <w:color w:val="000000"/>
          <w:shd w:fill="auto" w:val="clear"/>
        </w:rPr>
        <w:t xml:space="preserve"> Карла Маркса, 5, каб. 306.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В здании администрации Елизовского городского поселения, по адресу: г. Елизово, ул. В. Кручины, д.20, центральный вход организован стенд газового оборудования в целях демонстрации газоиспользующего оборудования (газовый котел, прибор учета газа, сигнализатор загазованности, газовая плита) с информацией о программе социальной догазификации жилых домов.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/>
          <w:color w:val="000000"/>
          <w:sz w:val="28"/>
          <w:szCs w:val="28"/>
          <w:shd w:fill="auto" w:val="clear"/>
        </w:rPr>
        <w:t>В зданиях администрации Николаевского, Пионерского, Раздольненского сельских поселений организованы стенды с информацией о программе социальной догазификации жилых домов.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Autospacing="0" w:after="0"/>
        <w:ind w:firstLine="709"/>
        <w:jc w:val="both"/>
        <w:rPr>
          <w:b/>
          <w:bCs/>
        </w:rPr>
      </w:pPr>
      <w:r>
        <w:rPr>
          <w:rFonts w:cs="Times New Roman"/>
          <w:b/>
          <w:bCs/>
          <w:color w:val="auto"/>
          <w:sz w:val="28"/>
          <w:szCs w:val="28"/>
        </w:rPr>
        <w:t>Меры социальной поддержки граждан в рамках программы догазификации</w:t>
      </w:r>
    </w:p>
    <w:p>
      <w:pPr>
        <w:pStyle w:val="Normal"/>
        <w:spacing w:lineRule="auto" w:line="240" w:before="0" w:afterAutospacing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/>
        <w:ind w:firstLine="709"/>
        <w:jc w:val="both"/>
        <w:rPr/>
      </w:pPr>
      <w:r>
        <w:rPr/>
        <w:t>В период с 26.04.2024 по 07.05.2024 (включительно) Министерством жилищно-коммунального хозяйства и энергетики Камчатского края проведен отбор получателей из краевого бюджета субсидии юридическим лицам и индивидуальным предпринимателям в целях возмещения затрат на выполнение работ и оказание услуг по приобретению, установке и монтажу газоиспользующего оборудования и (или) строительству газопроводов внутри земельных участков негазифицированных домовладений, расположенных вблизи внутрипоселковых газопроводов, гражданам, проживающим в Камчатском крае, по итогам которого ООО «КГИ» и АО «Газпром газораспределение Дальний Восток» признаны победителями.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color w:val="auto"/>
        </w:rPr>
        <w:t xml:space="preserve">Таким образом, в настоящее время на территории Камчатского края функционируют две организации, предоставляющие скидку на выполнение работ по договорам комплексной услуги, предусматривающим приобретение оборудования, установку и монтаж газоиспользующего оборудования и (или) строительство газопроводов внутри земельных участков негазифицированных домовладений, </w:t>
      </w:r>
      <w:r>
        <w:rPr>
          <w:b/>
          <w:bCs/>
          <w:color w:val="auto"/>
        </w:rPr>
        <w:t xml:space="preserve">до 90% (но не более 270 тысяч рублей). </w:t>
      </w:r>
    </w:p>
    <w:p>
      <w:pPr>
        <w:pStyle w:val="Normal"/>
        <w:spacing w:lineRule="auto" w:line="240"/>
        <w:ind w:firstLine="709"/>
        <w:jc w:val="both"/>
        <w:rPr/>
      </w:pPr>
      <w:r>
        <w:rPr>
          <w:color w:val="auto"/>
        </w:rPr>
        <w:t>Право на предоставление скидки имеют: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1) пенсионеры старше 55 лет;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2) многодетные семьи, имеющие 3-х и более детей, признанные в установленном порядке многодетными в соответствии с порогом многодетности, установленным исполнительными органами Камчатского края;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3) инвалиды, в том числе семьи с детьми-инвалидами;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4) граждане, являющиеся участниками Великой Отечественной войны, инвалидами боевых действий, ветеранами боевых действий, члены семей погибших (умерших) инвалидов Великой Отечественной войны и инвалидов боевых действий, участников Великой Отечественной войны, ветеранов боевых действий, статус которых подтвержден в соответствии с Федеральным законом от 12.01.1995 № 5-ФЗ «О ветеранах» и иными нормативными актами Российской Федерации;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5) малоимущие граждане, в том числе малоимущие семьи с детьми – семьи или одиноко проживающие граждане, среднедушевой доход которых ниже величины прожиточного минимума, установленного в Камчатском крае, в соответствии с Федеральным законом от 24.10.1997 № 134-ФЗ «О прожиточном минимуме в Российской Федерации» и иными нормативными актами Российской Федерации, Камчатского края;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6) труженики тыла, статус которых подтвержден в соответствии с Федеральным законом от 12.01.1995 № 5-ФЗ «О ветеранах»;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>7) ликвидаторы аварии на Чернобыльской АЭС.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Для остальных жителей Камчатского края предусмотрена скидка при заключении договора на выполнение комплексной услуги в размере до </w:t>
      </w:r>
      <w:r>
        <w:rPr>
          <w:b/>
          <w:bCs/>
          <w:shd w:fill="auto" w:val="clear"/>
        </w:rPr>
        <w:t>50% от стоимости работ по договору (но не более 135 тыс. руб.).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before="0" w:after="0"/>
        <w:ind w:firstLine="709"/>
        <w:jc w:val="both"/>
        <w:rPr>
          <w:b w:val="false"/>
          <w:bCs w:val="false"/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 xml:space="preserve">При этом обращаем Ваше внимание, что </w:t>
      </w:r>
      <w:r>
        <w:rPr>
          <w:b/>
          <w:bCs/>
          <w:shd w:fill="auto" w:val="clear"/>
        </w:rPr>
        <w:t>обязательным условием включения</w:t>
      </w:r>
      <w:r>
        <w:rPr>
          <w:b w:val="false"/>
          <w:bCs w:val="false"/>
          <w:shd w:fill="auto" w:val="clear"/>
        </w:rPr>
        <w:t xml:space="preserve"> стоимости материалов и оборудования, предусмотренных в составе </w:t>
      </w:r>
      <w:r>
        <w:rPr>
          <w:b w:val="false"/>
          <w:bCs w:val="false"/>
          <w:shd w:fill="auto" w:val="clear"/>
        </w:rPr>
        <w:t xml:space="preserve">комплексного договора </w:t>
      </w:r>
      <w:r>
        <w:rPr>
          <w:b w:val="false"/>
          <w:bCs w:val="false"/>
          <w:shd w:fill="auto" w:val="clear"/>
        </w:rPr>
        <w:t xml:space="preserve">подключения домовладения к газораспределительным сетям (отопительный котел, прибор учета, иное),  в расчет затрат для предоставления субсидии в соответствии с Постановлением </w:t>
      </w:r>
      <w:r>
        <w:rPr>
          <w:b/>
          <w:bCs/>
          <w:shd w:fill="auto" w:val="clear"/>
        </w:rPr>
        <w:t>является приобретение указанного оборудования у исполнителя работ по комплексному договору</w:t>
      </w:r>
      <w:r>
        <w:rPr>
          <w:b w:val="false"/>
          <w:bCs w:val="false"/>
          <w:shd w:fill="auto" w:val="clear"/>
        </w:rPr>
        <w:t>.</w:t>
      </w:r>
    </w:p>
    <w:p>
      <w:pPr>
        <w:pStyle w:val="Normal"/>
        <w:spacing w:before="0" w:after="0"/>
        <w:ind w:firstLine="709"/>
        <w:jc w:val="both"/>
        <w:rPr>
          <w:b w:val="false"/>
          <w:bCs w:val="false"/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 xml:space="preserve">Указанное обстоятельство связано с предоставлением субсидии юридическим лицам — исполнителям работ по договорам </w:t>
      </w:r>
      <w:r>
        <w:rPr>
          <w:b w:val="false"/>
          <w:bCs w:val="false"/>
          <w:color w:val="000000"/>
          <w:shd w:fill="auto" w:val="clear"/>
        </w:rPr>
        <w:t>о подключении (технологическом присоединении) газоиспользующего оборудования и объектов капитального строительства к сети газораспределения.</w:t>
      </w:r>
    </w:p>
    <w:p>
      <w:pPr>
        <w:pStyle w:val="Normal"/>
        <w:spacing w:lineRule="auto" w:line="240" w:before="0" w:after="0"/>
        <w:ind w:hanging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567" w:gutter="0" w:header="340" w:top="1134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4"/>
      </w:rPr>
    </w:pPr>
    <w:r>
      <w:rPr>
        <w:sz w:val="24"/>
      </w:rPr>
      <w:t>3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4"/>
      </w:rPr>
    </w:pPr>
    <w:r>
      <w:rPr>
        <w:sz w:val="24"/>
      </w:rPr>
      <w:t>3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8"/>
      <w:szCs w:val="20"/>
      <w:lang w:val="ru-RU" w:eastAsia="zh-CN" w:bidi="hi-IN"/>
    </w:rPr>
  </w:style>
  <w:style w:type="paragraph" w:styleId="Heading1">
    <w:name w:val="Heading 1"/>
    <w:basedOn w:val="Normal"/>
    <w:uiPriority w:val="9"/>
    <w:qFormat/>
    <w:pPr>
      <w:keepNext w:val="true"/>
      <w:spacing w:before="240" w:after="60"/>
      <w:outlineLvl w:val="0"/>
    </w:pPr>
    <w:rPr>
      <w:rFonts w:ascii="Calibri Light" w:hAnsi="Calibri Light"/>
      <w:b/>
      <w:sz w:val="32"/>
    </w:rPr>
  </w:style>
  <w:style w:type="paragraph" w:styleId="Heading2">
    <w:name w:val="Heading 2"/>
    <w:basedOn w:val="Normal"/>
    <w:uiPriority w:val="9"/>
    <w:qFormat/>
    <w:pPr>
      <w:keepNext w:val="true"/>
      <w:spacing w:before="240" w:after="60"/>
      <w:outlineLvl w:val="1"/>
    </w:pPr>
    <w:rPr>
      <w:rFonts w:ascii="Calibri Light" w:hAnsi="Calibri Light"/>
      <w:b/>
      <w:i/>
    </w:rPr>
  </w:style>
  <w:style w:type="paragraph" w:styleId="Heading3">
    <w:name w:val="Heading 3"/>
    <w:basedOn w:val="Normal"/>
    <w:uiPriority w:val="9"/>
    <w:qFormat/>
    <w:pPr>
      <w:keepNext w:val="true"/>
      <w:widowControl w:val="false"/>
      <w:jc w:val="center"/>
      <w:outlineLvl w:val="2"/>
    </w:pPr>
    <w:rPr/>
  </w:style>
  <w:style w:type="paragraph" w:styleId="Heading4">
    <w:name w:val="Heading 4"/>
    <w:uiPriority w:val="9"/>
    <w:qFormat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NSimSun" w:cs="Arial"/>
      <w:b/>
      <w:color w:val="000000"/>
      <w:kern w:val="0"/>
      <w:sz w:val="24"/>
      <w:szCs w:val="20"/>
      <w:lang w:val="ru-RU" w:eastAsia="zh-CN" w:bidi="hi-IN"/>
    </w:rPr>
  </w:style>
  <w:style w:type="paragraph" w:styleId="Heading5">
    <w:name w:val="Heading 5"/>
    <w:uiPriority w:val="9"/>
    <w:qFormat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NSimSun" w:cs="Arial"/>
      <w:b/>
      <w:color w:val="000000"/>
      <w:kern w:val="0"/>
      <w:sz w:val="22"/>
      <w:szCs w:val="20"/>
      <w:lang w:val="ru-RU" w:eastAsia="zh-CN" w:bidi="hi-IN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>
      <w:sz w:val="28"/>
    </w:rPr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11" w:customStyle="1">
    <w:name w:val="Гиперссылка1"/>
    <w:qFormat/>
    <w:rPr>
      <w:color w:val="0000FF"/>
      <w:u w:val="single"/>
    </w:rPr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4" w:customStyle="1">
    <w:name w:val="Гиперссылка4"/>
    <w:qFormat/>
    <w:rPr>
      <w:color w:val="0000FF"/>
      <w:u w:val="single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12" w:customStyle="1">
    <w:name w:val="Текст выноски1"/>
    <w:qFormat/>
    <w:rPr>
      <w:rFonts w:ascii="Tahoma" w:hAnsi="Tahoma"/>
      <w:sz w:val="16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3" w:customStyle="1">
    <w:name w:val="Основной шрифт абзаца3"/>
    <w:qFormat/>
    <w:rPr/>
  </w:style>
  <w:style w:type="character" w:styleId="13" w:customStyle="1">
    <w:name w:val="Основной шрифт абзаца1"/>
    <w:qFormat/>
    <w:rPr/>
  </w:style>
  <w:style w:type="character" w:styleId="41" w:customStyle="1">
    <w:name w:val="Основной шрифт абзаца4"/>
    <w:qFormat/>
    <w:rPr/>
  </w:style>
  <w:style w:type="character" w:styleId="2" w:customStyle="1">
    <w:name w:val="Гиперссылка2"/>
    <w:qFormat/>
    <w:rPr>
      <w:color w:val="0000FF"/>
      <w:u w:val="single"/>
    </w:rPr>
  </w:style>
  <w:style w:type="character" w:styleId="Heading31" w:customStyle="1">
    <w:name w:val="Heading 31"/>
    <w:qFormat/>
    <w:rPr/>
  </w:style>
  <w:style w:type="character" w:styleId="21" w:customStyle="1">
    <w:name w:val="Основной шрифт абзаца2"/>
    <w:qFormat/>
    <w:rPr/>
  </w:style>
  <w:style w:type="character" w:styleId="Style7" w:customStyle="1">
    <w:name w:val="Знак"/>
    <w:qFormat/>
    <w:rPr>
      <w:rFonts w:ascii="Verdana" w:hAnsi="Verdana"/>
      <w:sz w:val="20"/>
    </w:rPr>
  </w:style>
  <w:style w:type="character" w:styleId="1352" w:customStyle="1">
    <w:name w:val="1352"/>
    <w:basedOn w:val="13"/>
    <w:qFormat/>
    <w:rPr/>
  </w:style>
  <w:style w:type="character" w:styleId="Footer1" w:customStyle="1">
    <w:name w:val="Footer1"/>
    <w:qFormat/>
    <w:rPr/>
  </w:style>
  <w:style w:type="character" w:styleId="Docdata" w:customStyle="1">
    <w:name w:val="docdata"/>
    <w:qFormat/>
    <w:rPr>
      <w:sz w:val="24"/>
    </w:rPr>
  </w:style>
  <w:style w:type="character" w:styleId="Style8" w:customStyle="1">
    <w:name w:val="Знак Знак Знак Знак"/>
    <w:qFormat/>
    <w:rPr>
      <w:rFonts w:ascii="Verdana" w:hAnsi="Verdana"/>
      <w:sz w:val="20"/>
    </w:rPr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1337" w:customStyle="1">
    <w:name w:val="1337"/>
    <w:basedOn w:val="13"/>
    <w:qFormat/>
    <w:rPr/>
  </w:style>
  <w:style w:type="character" w:styleId="14" w:customStyle="1">
    <w:name w:val="Абзац списка1"/>
    <w:qFormat/>
    <w:rPr/>
  </w:style>
  <w:style w:type="character" w:styleId="Heading51" w:customStyle="1">
    <w:name w:val="Heading 51"/>
    <w:qFormat/>
    <w:rPr>
      <w:rFonts w:ascii="XO Thames" w:hAnsi="XO Thames"/>
      <w:b/>
      <w:sz w:val="22"/>
    </w:rPr>
  </w:style>
  <w:style w:type="character" w:styleId="5" w:customStyle="1">
    <w:name w:val="Гиперссылка5"/>
    <w:qFormat/>
    <w:rPr>
      <w:color w:val="0000FF"/>
      <w:u w:val="single"/>
    </w:rPr>
  </w:style>
  <w:style w:type="character" w:styleId="Heading11" w:customStyle="1">
    <w:name w:val="Heading 11"/>
    <w:qFormat/>
    <w:rPr>
      <w:rFonts w:ascii="Calibri Light" w:hAnsi="Calibri Light"/>
      <w:b/>
      <w:sz w:val="32"/>
    </w:rPr>
  </w:style>
  <w:style w:type="character" w:styleId="15" w:customStyle="1">
    <w:name w:val="Обычный (веб)1"/>
    <w:qFormat/>
    <w:rPr>
      <w:sz w:val="24"/>
    </w:rPr>
  </w:style>
  <w:style w:type="character" w:styleId="31" w:customStyle="1">
    <w:name w:val="Гиперссылка3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" w:customStyle="1">
    <w:name w:val="Footnote"/>
    <w:qFormat/>
    <w:rPr>
      <w:rFonts w:ascii="XO Thames" w:hAnsi="XO Thames"/>
      <w:sz w:val="22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</w:rPr>
  </w:style>
  <w:style w:type="character" w:styleId="Textbody" w:customStyle="1">
    <w:name w:val="Text body"/>
    <w:qFormat/>
    <w:rPr/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1276" w:customStyle="1">
    <w:name w:val="1276"/>
    <w:basedOn w:val="13"/>
    <w:qFormat/>
    <w:rPr/>
  </w:style>
  <w:style w:type="character" w:styleId="Header1" w:customStyle="1">
    <w:name w:val="Header1"/>
    <w:qFormat/>
    <w:rPr/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ConsPlusNormal" w:customStyle="1">
    <w:name w:val="ConsPlusNormal"/>
    <w:qFormat/>
    <w:rPr>
      <w:rFonts w:ascii="Calibri" w:hAnsi="Calibri"/>
      <w:sz w:val="22"/>
    </w:rPr>
  </w:style>
  <w:style w:type="character" w:styleId="Subtitle1" w:customStyle="1">
    <w:name w:val="Subtitle1"/>
    <w:qFormat/>
    <w:rPr>
      <w:rFonts w:ascii="XO Thames" w:hAnsi="XO Thames"/>
      <w:i/>
      <w:sz w:val="24"/>
    </w:rPr>
  </w:style>
  <w:style w:type="character" w:styleId="Title1" w:customStyle="1">
    <w:name w:val="Title1"/>
    <w:qFormat/>
    <w:rPr>
      <w:rFonts w:ascii="XO Thames" w:hAnsi="XO Thames"/>
      <w:b/>
      <w:caps/>
      <w:sz w:val="40"/>
    </w:rPr>
  </w:style>
  <w:style w:type="character" w:styleId="Heading41" w:customStyle="1">
    <w:name w:val="Heading 41"/>
    <w:qFormat/>
    <w:rPr>
      <w:rFonts w:ascii="XO Thames" w:hAnsi="XO Thames"/>
      <w:b/>
      <w:sz w:val="24"/>
    </w:rPr>
  </w:style>
  <w:style w:type="character" w:styleId="1180" w:customStyle="1">
    <w:name w:val="1180"/>
    <w:basedOn w:val="13"/>
    <w:qFormat/>
    <w:rPr/>
  </w:style>
  <w:style w:type="character" w:styleId="Heading21" w:customStyle="1">
    <w:name w:val="Heading 21"/>
    <w:qFormat/>
    <w:rPr>
      <w:rFonts w:ascii="Calibri Light" w:hAnsi="Calibri Light"/>
      <w:b/>
      <w:i/>
    </w:rPr>
  </w:style>
  <w:style w:type="character" w:styleId="Style9" w:customStyle="1">
    <w:name w:val="Символ нумерации"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widowControl w:val="false"/>
      <w:jc w:val="both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Title">
    <w:name w:val="Title"/>
    <w:uiPriority w:val="10"/>
    <w:qFormat/>
    <w:pPr>
      <w:widowControl/>
      <w:suppressAutoHyphens w:val="true"/>
      <w:bidi w:val="0"/>
      <w:spacing w:before="567" w:after="567"/>
      <w:jc w:val="center"/>
    </w:pPr>
    <w:rPr>
      <w:rFonts w:ascii="XO Thames" w:hAnsi="XO Thames" w:eastAsia="NSimSun" w:cs="Arial"/>
      <w:b/>
      <w:caps/>
      <w:color w:val="000000"/>
      <w:kern w:val="0"/>
      <w:sz w:val="40"/>
      <w:szCs w:val="20"/>
      <w:lang w:val="ru-RU" w:eastAsia="zh-CN" w:bidi="hi-IN"/>
    </w:rPr>
  </w:style>
  <w:style w:type="paragraph" w:styleId="Indexheading1">
    <w:name w:val="index heading1"/>
    <w:basedOn w:val="Normal"/>
    <w:qFormat/>
    <w:pPr>
      <w:suppressLineNumbers/>
    </w:pPr>
    <w:rPr/>
  </w:style>
  <w:style w:type="paragraph" w:styleId="111" w:customStyle="1">
    <w:name w:val="Обычный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8"/>
      <w:szCs w:val="20"/>
      <w:lang w:val="ru-RU" w:eastAsia="zh-CN" w:bidi="hi-IN"/>
    </w:rPr>
  </w:style>
  <w:style w:type="paragraph" w:styleId="TOC2">
    <w:name w:val="TOC 2"/>
    <w:uiPriority w:val="39"/>
    <w:pPr>
      <w:widowControl/>
      <w:suppressAutoHyphens w:val="true"/>
      <w:bidi w:val="0"/>
      <w:spacing w:before="0" w:after="0"/>
      <w:ind w:left="2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112" w:customStyle="1">
    <w:name w:val="Гиперссылка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FF"/>
      <w:kern w:val="0"/>
      <w:sz w:val="20"/>
      <w:szCs w:val="20"/>
      <w:u w:val="single"/>
      <w:lang w:val="ru-RU" w:eastAsia="zh-CN" w:bidi="hi-IN"/>
    </w:rPr>
  </w:style>
  <w:style w:type="paragraph" w:styleId="TOC4">
    <w:name w:val="TOC 4"/>
    <w:uiPriority w:val="39"/>
    <w:pPr>
      <w:widowControl/>
      <w:suppressAutoHyphens w:val="true"/>
      <w:bidi w:val="0"/>
      <w:spacing w:before="0" w:after="0"/>
      <w:ind w:left="6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411" w:customStyle="1">
    <w:name w:val="Гиперссылка4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FF"/>
      <w:kern w:val="0"/>
      <w:sz w:val="20"/>
      <w:szCs w:val="20"/>
      <w:u w:val="single"/>
      <w:lang w:val="ru-RU" w:eastAsia="zh-CN" w:bidi="hi-IN"/>
    </w:rPr>
  </w:style>
  <w:style w:type="paragraph" w:styleId="TOC6">
    <w:name w:val="TOC 6"/>
    <w:uiPriority w:val="39"/>
    <w:pPr>
      <w:widowControl/>
      <w:suppressAutoHyphens w:val="true"/>
      <w:bidi w:val="0"/>
      <w:spacing w:before="0" w:after="0"/>
      <w:ind w:left="10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BalloonText1" w:customStyle="1">
    <w:name w:val="Balloon Text1"/>
    <w:basedOn w:val="Normal"/>
    <w:qFormat/>
    <w:pPr/>
    <w:rPr>
      <w:rFonts w:ascii="Tahoma" w:hAnsi="Tahoma"/>
      <w:sz w:val="16"/>
    </w:rPr>
  </w:style>
  <w:style w:type="paragraph" w:styleId="TOC7">
    <w:name w:val="TOC 7"/>
    <w:uiPriority w:val="39"/>
    <w:pPr>
      <w:widowControl/>
      <w:suppressAutoHyphens w:val="true"/>
      <w:bidi w:val="0"/>
      <w:spacing w:before="0" w:after="0"/>
      <w:ind w:left="12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311" w:customStyle="1">
    <w:name w:val="Основной шрифт абзаца3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113" w:customStyle="1">
    <w:name w:val="Основной шрифт абзаца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412" w:customStyle="1">
    <w:name w:val="Основной шрифт абзаца4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211" w:customStyle="1">
    <w:name w:val="Гиперссылка2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FF"/>
      <w:kern w:val="0"/>
      <w:sz w:val="20"/>
      <w:szCs w:val="20"/>
      <w:u w:val="single"/>
      <w:lang w:val="ru-RU" w:eastAsia="zh-CN" w:bidi="hi-IN"/>
    </w:rPr>
  </w:style>
  <w:style w:type="paragraph" w:styleId="212" w:customStyle="1">
    <w:name w:val="Основной шрифт абзаца2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16" w:customStyle="1">
    <w:name w:val="Знак1"/>
    <w:basedOn w:val="Normal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13521" w:customStyle="1">
    <w:name w:val="13521"/>
    <w:basedOn w:val="113"/>
    <w:qFormat/>
    <w:pPr/>
    <w:rPr/>
  </w:style>
  <w:style w:type="paragraph" w:styleId="Style12" w:customStyle="1">
    <w:name w:val="Колонтитул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NSimSun" w:cs="Arial"/>
      <w:color w:val="00000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Docdata1" w:customStyle="1">
    <w:name w:val="docdata1"/>
    <w:basedOn w:val="Normal"/>
    <w:qFormat/>
    <w:pPr>
      <w:spacing w:beforeAutospacing="1" w:afterAutospacing="1"/>
    </w:pPr>
    <w:rPr>
      <w:sz w:val="24"/>
    </w:rPr>
  </w:style>
  <w:style w:type="paragraph" w:styleId="17" w:customStyle="1">
    <w:name w:val="Знак Знак Знак Знак1"/>
    <w:basedOn w:val="Normal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TOC3">
    <w:name w:val="TOC 3"/>
    <w:uiPriority w:val="39"/>
    <w:pPr>
      <w:widowControl/>
      <w:suppressAutoHyphens w:val="true"/>
      <w:bidi w:val="0"/>
      <w:spacing w:before="0" w:after="0"/>
      <w:ind w:left="4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13371" w:customStyle="1">
    <w:name w:val="13371"/>
    <w:basedOn w:val="113"/>
    <w:qFormat/>
    <w:pPr/>
    <w:rPr/>
  </w:style>
  <w:style w:type="paragraph" w:styleId="ListParagraph1" w:customStyle="1">
    <w:name w:val="List Paragraph1"/>
    <w:basedOn w:val="Normal"/>
    <w:qFormat/>
    <w:pPr>
      <w:spacing w:before="0" w:after="0"/>
      <w:ind w:left="720"/>
      <w:contextualSpacing/>
    </w:pPr>
    <w:rPr/>
  </w:style>
  <w:style w:type="paragraph" w:styleId="51" w:customStyle="1">
    <w:name w:val="Гиперссылка5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FF"/>
      <w:kern w:val="0"/>
      <w:sz w:val="20"/>
      <w:szCs w:val="20"/>
      <w:u w:val="single"/>
      <w:lang w:val="ru-RU" w:eastAsia="zh-CN" w:bidi="hi-IN"/>
    </w:rPr>
  </w:style>
  <w:style w:type="paragraph" w:styleId="NormalWeb1" w:customStyle="1">
    <w:name w:val="Normal (Web)1"/>
    <w:basedOn w:val="Normal"/>
    <w:qFormat/>
    <w:pPr>
      <w:spacing w:beforeAutospacing="1" w:afterAutospacing="1"/>
    </w:pPr>
    <w:rPr>
      <w:sz w:val="24"/>
    </w:rPr>
  </w:style>
  <w:style w:type="paragraph" w:styleId="312" w:customStyle="1">
    <w:name w:val="Гиперссылка3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FF"/>
      <w:kern w:val="0"/>
      <w:sz w:val="20"/>
      <w:szCs w:val="20"/>
      <w:u w:val="single"/>
      <w:lang w:val="ru-RU" w:eastAsia="zh-CN" w:bidi="hi-IN"/>
    </w:rPr>
  </w:style>
  <w:style w:type="paragraph" w:styleId="Internetlink" w:customStyle="1">
    <w:name w:val="Internet link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FF"/>
      <w:kern w:val="0"/>
      <w:sz w:val="20"/>
      <w:szCs w:val="20"/>
      <w:u w:val="single"/>
      <w:lang w:val="ru-RU" w:eastAsia="zh-CN" w:bidi="hi-IN"/>
    </w:rPr>
  </w:style>
  <w:style w:type="paragraph" w:styleId="Footnote1" w:customStyle="1">
    <w:name w:val="Footnote1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NSimSun" w:cs="Arial"/>
      <w:color w:val="000000"/>
      <w:kern w:val="0"/>
      <w:sz w:val="22"/>
      <w:szCs w:val="20"/>
      <w:lang w:val="ru-RU" w:eastAsia="zh-CN" w:bidi="hi-IN"/>
    </w:rPr>
  </w:style>
  <w:style w:type="paragraph" w:styleId="TOC1">
    <w:name w:val="TOC 1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b/>
      <w:color w:val="000000"/>
      <w:kern w:val="0"/>
      <w:sz w:val="28"/>
      <w:szCs w:val="20"/>
      <w:lang w:val="ru-RU" w:eastAsia="zh-CN" w:bidi="hi-IN"/>
    </w:rPr>
  </w:style>
  <w:style w:type="paragraph" w:styleId="TOC9">
    <w:name w:val="TOC 9"/>
    <w:uiPriority w:val="39"/>
    <w:pPr>
      <w:widowControl/>
      <w:suppressAutoHyphens w:val="true"/>
      <w:bidi w:val="0"/>
      <w:spacing w:before="0" w:after="0"/>
      <w:ind w:left="16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12761" w:customStyle="1">
    <w:name w:val="12761"/>
    <w:basedOn w:val="113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TOC8">
    <w:name w:val="TOC 8"/>
    <w:uiPriority w:val="39"/>
    <w:pPr>
      <w:widowControl/>
      <w:suppressAutoHyphens w:val="true"/>
      <w:bidi w:val="0"/>
      <w:spacing w:before="0" w:after="0"/>
      <w:ind w:left="14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TOC5">
    <w:name w:val="TOC 5"/>
    <w:uiPriority w:val="39"/>
    <w:pPr>
      <w:widowControl/>
      <w:suppressAutoHyphens w:val="true"/>
      <w:bidi w:val="0"/>
      <w:spacing w:before="0" w:after="0"/>
      <w:ind w:left="80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ConsPlusNormal1" w:customStyle="1">
    <w:name w:val="ConsPlusNormal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Arial"/>
      <w:color w:val="000000"/>
      <w:kern w:val="0"/>
      <w:sz w:val="22"/>
      <w:szCs w:val="20"/>
      <w:lang w:val="ru-RU" w:eastAsia="zh-CN" w:bidi="hi-IN"/>
    </w:rPr>
  </w:style>
  <w:style w:type="paragraph" w:styleId="Subtitle">
    <w:name w:val="Subtitle"/>
    <w:uiPriority w:val="11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NSimSun" w:cs="Arial"/>
      <w:i/>
      <w:color w:val="000000"/>
      <w:kern w:val="0"/>
      <w:sz w:val="24"/>
      <w:szCs w:val="20"/>
      <w:lang w:val="ru-RU" w:eastAsia="zh-CN" w:bidi="hi-IN"/>
    </w:rPr>
  </w:style>
  <w:style w:type="paragraph" w:styleId="DefaultParagraphFont1" w:customStyle="1">
    <w:name w:val="Default Paragraph Font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11801" w:customStyle="1">
    <w:name w:val="11801"/>
    <w:basedOn w:val="113"/>
    <w:qFormat/>
    <w:pPr/>
    <w:rPr/>
  </w:style>
  <w:style w:type="paragraph" w:styleId="Style13" w:customStyle="1">
    <w:name w:val="Содержимое врезки"/>
    <w:basedOn w:val="Normal"/>
    <w:qFormat/>
    <w:pPr/>
    <w:rPr/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7413</TotalTime>
  <Application>LibreOffice/24.2.0.3$Windows_X86_64 LibreOffice_project/da48488a73ddd66ea24cf16bbc4f7b9c08e9bea1</Application>
  <AppVersion>15.0000</AppVersion>
  <Pages>3</Pages>
  <Words>873</Words>
  <Characters>6387</Characters>
  <CharactersWithSpaces>7245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2024-04-12T03:02:00Z</dcterms:created>
  <dc:creator/>
  <dc:description/>
  <dc:language>ru-RU</dc:language>
  <cp:lastModifiedBy/>
  <dcterms:modified xsi:type="dcterms:W3CDTF">2024-11-06T15:05:01Z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