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внесении изменений в постановление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20.07.2020 № 291-П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в связи с оказанием потребителям коммунальных услуг по льготным тарифам, в Камчатском крае»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/>
    </w:p>
    <w:p>
      <w:pPr>
        <w:jc w:val="center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(далее – Проект, Порядок)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утверждения порядка </w:t>
      </w:r>
      <w:r>
        <w:rPr>
          <w:sz w:val="28"/>
        </w:rPr>
        <w:t xml:space="preserve">возмещения </w:t>
      </w:r>
      <w:r>
        <w:rPr>
          <w:sz w:val="28"/>
        </w:rPr>
        <w:t xml:space="preserve">ресурсоснабжающим организациям –  </w:t>
      </w:r>
      <w:r>
        <w:rPr>
          <w:sz w:val="28"/>
          <w:szCs w:val="28"/>
          <w:highlight w:val="none"/>
        </w:rPr>
        <w:t xml:space="preserve">бюджетным и автономным учреждениям</w:t>
      </w:r>
      <w:r>
        <w:rPr>
          <w:sz w:val="28"/>
        </w:rPr>
        <w:t xml:space="preserve"> (не являющимися казенными учреждениями) межтарифной разницы</w:t>
      </w:r>
      <w:r>
        <w:rPr>
          <w:sz w:val="28"/>
        </w:rPr>
        <w:t xml:space="preserve"> в целях реализации полномочий Камчатского края 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</w:rPr>
      </w:r>
      <w:r/>
    </w:p>
    <w:p>
      <w:pPr>
        <w:ind w:left="0"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 соответствии с пунктом 4 статьи 78.1 Бюджетного кодекса Росийской Федерации (далее – БК РФ) </w:t>
      </w:r>
      <w:r>
        <w:rPr>
          <w:sz w:val="28"/>
          <w:szCs w:val="28"/>
          <w:highlight w:val="none"/>
        </w:rPr>
        <w:t xml:space="preserve">в законе (решении) о бюджете могут предусматриваться бюджетные ассигнования на предоставление, в том числе в соответствии с решением Президента Российской Федерации, некоммерческим организациям, не являющимся казенными учреждениями, грантов в форме субси</w:t>
      </w:r>
      <w:r>
        <w:rPr>
          <w:sz w:val="28"/>
          <w:szCs w:val="28"/>
          <w:highlight w:val="none"/>
        </w:rPr>
        <w:t xml:space="preserve">д</w:t>
      </w:r>
      <w:r>
        <w:rPr>
          <w:sz w:val="28"/>
          <w:szCs w:val="28"/>
          <w:highlight w:val="none"/>
        </w:rPr>
        <w:t xml:space="preserve">ий, в том числе предоставляемых федеральными органами исполнительной власти, исполнительными органами субъектов Российской Федерации, органами местной администрации по результатам проводимых ими отборов бюджетным и автономным учреждениям, включая учреждени</w:t>
      </w:r>
      <w:r>
        <w:rPr>
          <w:sz w:val="28"/>
          <w:szCs w:val="28"/>
          <w:highlight w:val="none"/>
        </w:rPr>
        <w:t xml:space="preserve">я, в отношении которых указанные органы не осуществляют функции и полномочия учредителя.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Действующий </w:t>
      </w:r>
      <w:r>
        <w:rPr>
          <w:sz w:val="28"/>
          <w:szCs w:val="28"/>
        </w:rPr>
        <w:t xml:space="preserve">Порядок регламентирует предоставление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грантов в форме субсидий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возмещение недополученных доходов, возникших в связи с </w:t>
      </w:r>
      <w:r>
        <w:rPr>
          <w:sz w:val="28"/>
          <w:szCs w:val="28"/>
        </w:rPr>
        <w:t xml:space="preserve">оказанием потребителям коммунальных услуг по льготным тарифам</w:t>
      </w:r>
      <w:r>
        <w:rPr>
          <w:sz w:val="28"/>
          <w:szCs w:val="28"/>
        </w:rPr>
        <w:t xml:space="preserve"> только федеральному государственному </w:t>
      </w:r>
      <w:r>
        <w:rPr>
          <w:sz w:val="28"/>
          <w:szCs w:val="28"/>
        </w:rPr>
        <w:t xml:space="preserve">бюджетному учреждению </w:t>
      </w:r>
      <w:r>
        <w:rPr>
          <w:sz w:val="28"/>
        </w:rPr>
        <w:t xml:space="preserve">«</w:t>
      </w:r>
      <w:r>
        <w:rPr>
          <w:sz w:val="28"/>
          <w:szCs w:val="28"/>
        </w:rPr>
        <w:t xml:space="preserve">Центральное жилищно-коммунальное управление</w:t>
      </w:r>
      <w:r>
        <w:rPr>
          <w:sz w:val="28"/>
        </w:rPr>
        <w:t xml:space="preserve">»</w:t>
      </w:r>
      <w:r>
        <w:rPr>
          <w:sz w:val="28"/>
          <w:szCs w:val="28"/>
        </w:rPr>
        <w:t xml:space="preserve"> Министерства обороны Российской Федерации (далее – ФГБУ ЦЖКУ). </w:t>
      </w:r>
      <w:r>
        <w:rPr>
          <w:sz w:val="28"/>
          <w:szCs w:val="28"/>
          <w14:ligatures w14:val="none"/>
        </w:rPr>
      </w:r>
      <w:r/>
    </w:p>
    <w:p>
      <w:pPr>
        <w:ind w:left="0"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В Камчатском крае, помимо </w:t>
      </w:r>
      <w:r>
        <w:rPr>
          <w:sz w:val="28"/>
          <w:szCs w:val="28"/>
        </w:rPr>
        <w:t xml:space="preserve">ФГБУ ЦЖКУ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регулируемую деятельность в сфере водоснабжения и водоотведения</w:t>
      </w:r>
      <w:r>
        <w:rPr>
          <w:sz w:val="28"/>
          <w:szCs w:val="28"/>
        </w:rPr>
        <w:t xml:space="preserve"> осуществляет еще одно бюджетное учреждение, не являющееся казенным учреждением –  муниципальное бюджетное учреждение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Надежда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жилищно-коммунального хозяйства Усть-Большерецкого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МБУ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Надежда</w:t>
      </w:r>
      <w:r>
        <w:rPr>
          <w:sz w:val="28"/>
          <w:szCs w:val="28"/>
        </w:rPr>
        <w:t xml:space="preserve">»)</w:t>
      </w:r>
      <w:r>
        <w:rPr>
          <w:sz w:val="28"/>
          <w:szCs w:val="28"/>
        </w:rPr>
        <w:t xml:space="preserve">, для которого</w:t>
      </w:r>
      <w:r>
        <w:rPr>
          <w:sz w:val="28"/>
          <w:szCs w:val="28"/>
        </w:rPr>
        <w:t xml:space="preserve"> порядок возмещения недополученных доходов, возникших в связи с </w:t>
      </w:r>
      <w:r>
        <w:rPr>
          <w:sz w:val="28"/>
          <w:szCs w:val="28"/>
        </w:rPr>
        <w:t xml:space="preserve">оказанием потребителям коммунальных услуг по льготным тарифам</w:t>
      </w:r>
      <w:r>
        <w:rPr>
          <w:sz w:val="28"/>
          <w:szCs w:val="28"/>
        </w:rPr>
        <w:t xml:space="preserve"> не утвержден.</w:t>
      </w:r>
      <w:r>
        <w:rPr>
          <w:sz w:val="28"/>
          <w:szCs w:val="28"/>
          <w14:ligatures w14:val="none"/>
        </w:rPr>
      </w:r>
      <w:r/>
    </w:p>
    <w:p>
      <w:pPr>
        <w:ind w:left="0"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</w:rPr>
        <w:t xml:space="preserve">Вместе с тем, с</w:t>
      </w:r>
      <w:r>
        <w:rPr>
          <w:sz w:val="28"/>
        </w:rPr>
        <w:t xml:space="preserve">огласно правовой позиции, изложенной в Постановлении Конституционного Суда </w:t>
      </w:r>
      <w:r>
        <w:rPr>
          <w:sz w:val="28"/>
        </w:rPr>
        <w:t xml:space="preserve">Российской Федерации от 29.03.2011 № 2-П, если применение мер тарифного </w:t>
      </w:r>
      <w:r>
        <w:rPr>
          <w:sz w:val="28"/>
        </w:rPr>
        <w:t xml:space="preserve">регулирования предполагает возникновение разницы между утвержденным тарифом для </w:t>
      </w:r>
      <w:r>
        <w:rPr>
          <w:sz w:val="28"/>
        </w:rPr>
        <w:t xml:space="preserve">определенной группы потребителей, например, населения, и утвержденным для другой </w:t>
      </w:r>
      <w:r>
        <w:rPr>
          <w:sz w:val="28"/>
        </w:rPr>
        <w:t xml:space="preserve">группы потребителей экономически обоснованным тарифом, отражающим реальные </w:t>
      </w:r>
      <w:r>
        <w:rPr>
          <w:sz w:val="28"/>
        </w:rPr>
        <w:t xml:space="preserve">затраты ресурсоснабжающей организации на производство соответствующего ресурса, </w:t>
      </w:r>
      <w:r>
        <w:rPr>
          <w:sz w:val="28"/>
        </w:rPr>
        <w:t xml:space="preserve">предполагается возмещение в таких случаях этой организации понесенных ею </w:t>
      </w:r>
      <w:r>
        <w:rPr>
          <w:sz w:val="28"/>
        </w:rPr>
        <w:t xml:space="preserve">экономических потерь.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</w:pPr>
      <w:r>
        <w:rPr>
          <w:sz w:val="28"/>
        </w:rPr>
        <w:t xml:space="preserve">Как разъяснено в пункте 1 Постановления Пленума Высшего Арбитражного Суда </w:t>
      </w:r>
      <w:r>
        <w:rPr>
          <w:sz w:val="28"/>
        </w:rPr>
        <w:t xml:space="preserve">Российской Федерации от 06.12.2013 № 87 «О некоторых вопросах практики </w:t>
      </w:r>
      <w:r>
        <w:rPr>
          <w:sz w:val="28"/>
        </w:rPr>
        <w:t xml:space="preserve">рассмотрения споров, связанных со взысканием потерь ресурсоснабжающих организаций, </w:t>
      </w:r>
      <w:r>
        <w:rPr>
          <w:sz w:val="28"/>
        </w:rPr>
        <w:t xml:space="preserve">вызванных межтарифной разницей» возникновение </w:t>
      </w:r>
      <w:r>
        <w:rPr>
          <w:sz w:val="28"/>
        </w:rPr>
        <w:t xml:space="preserve">межтарифной разницы служит прямым следствием реализации полномочий по </w:t>
      </w:r>
      <w:r>
        <w:rPr>
          <w:sz w:val="28"/>
        </w:rPr>
        <w:t xml:space="preserve">государственному регулированию цен (тарифов), поэтому субъектом, обязанным </w:t>
      </w:r>
      <w:r>
        <w:rPr>
          <w:sz w:val="28"/>
        </w:rPr>
        <w:t xml:space="preserve">возместить ресурсоснабжающей организации расходы, обусловленные установлением </w:t>
      </w:r>
      <w:r>
        <w:rPr>
          <w:sz w:val="28"/>
        </w:rPr>
        <w:t xml:space="preserve">тарифа в размере ниже экономически обоснованного, должно быть то публично-правовое </w:t>
      </w:r>
      <w:r>
        <w:rPr>
          <w:sz w:val="28"/>
        </w:rPr>
        <w:t xml:space="preserve">образование, уполномоченным органом которого было принято соответствующее </w:t>
      </w:r>
      <w:r>
        <w:rPr>
          <w:sz w:val="28"/>
        </w:rPr>
        <w:t xml:space="preserve">тарифное решение.</w:t>
      </w:r>
      <w:r>
        <w:rPr>
          <w:sz w:val="28"/>
        </w:rPr>
      </w:r>
      <w:r/>
    </w:p>
    <w:p>
      <w:pPr>
        <w:ind w:left="0" w:firstLine="708"/>
        <w:jc w:val="both"/>
        <w:rPr>
          <w:sz w:val="28"/>
          <w:szCs w:val="28"/>
        </w:rPr>
      </w:pPr>
      <w:r>
        <w:rPr>
          <w:sz w:val="28"/>
        </w:rPr>
        <w:t xml:space="preserve">При этом данным публично-правовым образованием должна быть установлена </w:t>
      </w:r>
      <w:r>
        <w:rPr>
          <w:sz w:val="28"/>
        </w:rPr>
        <w:t xml:space="preserve">компенсация потерь ресурсоснабжающей организации, вызванных межтарифной </w:t>
      </w:r>
      <w:r>
        <w:rPr>
          <w:sz w:val="28"/>
        </w:rPr>
        <w:t xml:space="preserve">разницей. </w:t>
      </w:r>
      <w:r>
        <w:rPr>
          <w:sz w:val="28"/>
        </w:rPr>
      </w:r>
      <w:r/>
    </w:p>
    <w:p>
      <w:pPr>
        <w:ind w:left="0" w:firstLine="708"/>
        <w:jc w:val="both"/>
        <w:rPr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настоящее время Арбитражным судом Камчатского края рассматривается гражданское дело </w:t>
      </w:r>
      <w:r>
        <w:rPr>
          <w:sz w:val="28"/>
          <w:szCs w:val="28"/>
        </w:rPr>
        <w:t xml:space="preserve">№ А24-3390/2024</w:t>
      </w:r>
      <w:r>
        <w:rPr>
          <w:sz w:val="28"/>
          <w:szCs w:val="28"/>
        </w:rPr>
        <w:t xml:space="preserve"> по иску МБУ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Надежда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Камчатскому краю в лице </w:t>
      </w:r>
      <w:r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 xml:space="preserve">о взыскании</w:t>
      </w:r>
      <w:r>
        <w:rPr>
          <w:sz w:val="28"/>
          <w:szCs w:val="28"/>
        </w:rPr>
        <w:t xml:space="preserve"> убытков в виде межтарифной разницы. </w:t>
      </w:r>
      <w:r>
        <w:rPr>
          <w:sz w:val="28"/>
        </w:rPr>
        <w:t xml:space="preserve">Как следует из сложившейся в Ро</w:t>
      </w:r>
      <w:r>
        <w:rPr>
          <w:sz w:val="28"/>
        </w:rPr>
        <w:t xml:space="preserve">ссийской Федерации судебной практики, при отсутствии в субъектах Российской Федерации механизмов возмещения межтарифной разницы для бюджетных учреждений, такая разница взыскивается по решению судов в виде убытков и необходимым и достаточным основанием для </w:t>
      </w:r>
      <w:r>
        <w:rPr>
          <w:sz w:val="28"/>
        </w:rPr>
        <w:t xml:space="preserve">возмещения ресурсоснабжающей организации межтарифной разницы</w:t>
      </w:r>
      <w:r>
        <w:rPr>
          <w:sz w:val="28"/>
        </w:rPr>
        <w:t xml:space="preserve"> является сам факт </w:t>
      </w:r>
      <w:r>
        <w:rPr>
          <w:sz w:val="28"/>
          <w:szCs w:val="28"/>
        </w:rPr>
        <w:t xml:space="preserve">установления </w:t>
      </w:r>
      <w:r>
        <w:rPr>
          <w:sz w:val="28"/>
          <w:szCs w:val="28"/>
        </w:rPr>
        <w:t xml:space="preserve">экономически обоснованного и льготного тарифа определенной группе потребителей. </w:t>
      </w:r>
      <w:r>
        <w:rPr>
          <w:sz w:val="28"/>
          <w:szCs w:val="28"/>
        </w:rPr>
        <w:t xml:space="preserve">Доводы о том, что предоставление субсидии истцу не предусмотрено по </w:t>
      </w:r>
      <w:r>
        <w:rPr>
          <w:sz w:val="28"/>
          <w:szCs w:val="28"/>
        </w:rPr>
        <w:t xml:space="preserve">причине статуса государственного учреждения отклоняются судом как не обоснованные и </w:t>
      </w:r>
      <w:r>
        <w:rPr>
          <w:sz w:val="28"/>
          <w:szCs w:val="28"/>
        </w:rPr>
        <w:t xml:space="preserve">противоречие единому правовому подходу о возмещении убытков публично-правовым </w:t>
      </w:r>
      <w:r>
        <w:rPr>
          <w:sz w:val="28"/>
          <w:szCs w:val="28"/>
        </w:rPr>
        <w:t xml:space="preserve">образованием, которым принято соответствующее тарифное решение.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Взыскание в судебном порядке межтарифной разницы влечет также возмещение судебных расходов со стороны ответчик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, что является дополнительным расходным обязательством бюджета Камчатского края.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Таким образом, средства гранта в форме субсидии</w:t>
      </w:r>
      <w:r>
        <w:rPr>
          <w:sz w:val="28"/>
        </w:rPr>
        <w:t xml:space="preserve">, предусмотренны</w:t>
      </w:r>
      <w:r>
        <w:rPr>
          <w:sz w:val="28"/>
        </w:rPr>
        <w:t xml:space="preserve">е</w:t>
      </w:r>
      <w:r>
        <w:rPr>
          <w:sz w:val="28"/>
        </w:rPr>
        <w:t xml:space="preserve"> Порядком,</w:t>
      </w:r>
      <w:r>
        <w:rPr>
          <w:sz w:val="28"/>
        </w:rPr>
        <w:t xml:space="preserve"> направлены фактически на исполнение полномочий Камчатского края </w:t>
      </w:r>
      <w:r>
        <w:rPr>
          <w:sz w:val="28"/>
        </w:rPr>
        <w:t xml:space="preserve">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left="0" w:firstLine="708"/>
        <w:jc w:val="both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На основании абзаца четвертого пункта 4 статьи 78.1 БК РФ, </w:t>
      </w:r>
      <w:r>
        <w:rPr>
          <w:sz w:val="28"/>
          <w:szCs w:val="28"/>
          <w:highlight w:val="none"/>
        </w:rPr>
        <w:t xml:space="preserve">гранты в форме субсидий в настоящем Проекте предлагается предоставлять </w:t>
      </w:r>
      <w:r>
        <w:rPr>
          <w:sz w:val="28"/>
          <w:szCs w:val="28"/>
          <w:highlight w:val="none"/>
        </w:rPr>
        <w:t xml:space="preserve">в соответствии с порядком, указанным в </w:t>
      </w:r>
      <w:r>
        <w:rPr>
          <w:sz w:val="28"/>
          <w:szCs w:val="28"/>
          <w:highlight w:val="none"/>
        </w:rPr>
        <w:t xml:space="preserve">абзаце шестом пункта 2</w:t>
      </w:r>
      <w:r>
        <w:rPr>
          <w:sz w:val="28"/>
          <w:szCs w:val="28"/>
          <w:highlight w:val="none"/>
        </w:rPr>
        <w:t xml:space="preserve"> статьи 78.1 БК РФ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Кроме того, </w:t>
      </w:r>
      <w:r>
        <w:rPr>
          <w:sz w:val="28"/>
        </w:rPr>
        <w:t xml:space="preserve">Порядок подлежит приведению </w:t>
      </w:r>
      <w:r>
        <w:rPr>
          <w:sz w:val="28"/>
        </w:rPr>
        <w:t xml:space="preserve">в соответствие с Общими требованиями</w:t>
      </w:r>
      <w:r>
        <w:rPr>
          <w:sz w:val="28"/>
        </w:rPr>
        <w:t xml:space="preserve"> к норматив</w:t>
      </w:r>
      <w:r>
        <w:rPr>
          <w:sz w:val="28"/>
        </w:rPr>
        <w:t xml:space="preserve">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sz w:val="28"/>
        </w:rPr>
        <w:t xml:space="preserve">м лицам – производителям товаров, работ, услуг, и проведение отб</w:t>
      </w:r>
      <w:r>
        <w:rPr>
          <w:sz w:val="28"/>
        </w:rPr>
        <w:t xml:space="preserve">оров получателей указанных субсидий, в том числе грантов в форме субсидий, утвержденными </w:t>
      </w:r>
      <w:r>
        <w:rPr>
          <w:sz w:val="28"/>
        </w:rPr>
        <w:t xml:space="preserve">постановлением Правительства Российской Федерации </w:t>
      </w:r>
      <w:r>
        <w:rPr>
          <w:sz w:val="28"/>
        </w:rPr>
        <w:t xml:space="preserve">от 25.10.2023 № 1782</w:t>
      </w:r>
      <w:r>
        <w:rPr>
          <w:sz w:val="28"/>
          <w:highlight w:val="white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9"/>
        <w:jc w:val="both"/>
        <w:rPr>
          <w:highlight w:val="none"/>
        </w:rPr>
      </w:pPr>
      <w:r>
        <w:rPr>
          <w:sz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Отложенный порядок вступления в силу постановления обусловлен необходимостью с 1 января 2025 года осуществлять проведение отбора получателей грантов в форме субсидий и заключения соглашения о предоставлении гранта в форме субсидии в государственно</w:t>
      </w:r>
      <w:r>
        <w:rPr>
          <w:rFonts w:ascii="Times New Roman" w:hAnsi="Times New Roman"/>
          <w:sz w:val="28"/>
          <w:szCs w:val="28"/>
        </w:rPr>
        <w:t xml:space="preserve">й интегрированной информационной системе управления общественными финансами «Электронный бюджет».</w:t>
      </w:r>
      <w:r>
        <w:rPr>
          <w:sz w:val="28"/>
          <w:szCs w:val="28"/>
          <w:highlight w:val="none"/>
        </w:rPr>
      </w:r>
      <w:r/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настоящего проекта постановления потребует дополнительного</w:t>
      </w:r>
      <w:r>
        <w:rPr>
          <w:sz w:val="28"/>
        </w:rPr>
        <w:t xml:space="preserve"> финансирования из краевого бюджета. Финансовое обоснование приведено отдельно</w:t>
      </w:r>
      <w:r>
        <w:rPr>
          <w:sz w:val="28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Потребность, заложенная в краевом бюджете для </w:t>
      </w:r>
      <w:r>
        <w:rPr>
          <w:sz w:val="28"/>
          <w:szCs w:val="28"/>
        </w:rPr>
        <w:t xml:space="preserve">ФГБУ ЦЖКУ составляет:</w:t>
      </w:r>
      <w:r>
        <w:rPr>
          <w:sz w:val="28"/>
          <w:szCs w:val="28"/>
          <w14:ligatures w14:val="none"/>
        </w:rPr>
      </w:r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 2025 год – 310 675 331,93 руб.;</w:t>
      </w:r>
      <w:r>
        <w:rPr>
          <w:sz w:val="28"/>
          <w:szCs w:val="28"/>
          <w14:ligatures w14:val="none"/>
        </w:rPr>
      </w:r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на 2026 год </w:t>
      </w:r>
      <w:r>
        <w:rPr>
          <w:sz w:val="28"/>
          <w:szCs w:val="28"/>
        </w:rPr>
        <w:t xml:space="preserve">–</w:t>
      </w:r>
      <w:r/>
      <w:r>
        <w:rPr>
          <w:sz w:val="28"/>
          <w:szCs w:val="28"/>
        </w:rPr>
        <w:t xml:space="preserve"> 338 704 110,35 руб.; </w:t>
      </w:r>
      <w:r>
        <w:rPr>
          <w:sz w:val="28"/>
          <w:szCs w:val="28"/>
          <w14:ligatures w14:val="none"/>
        </w:rPr>
      </w:r>
    </w:p>
    <w:p>
      <w:pPr>
        <w:ind w:left="0" w:firstLine="709"/>
        <w:jc w:val="both"/>
        <w:rPr>
          <w:highlight w:val="none"/>
          <w14:ligatures w14:val="none"/>
        </w:rPr>
      </w:pPr>
      <w:r>
        <w:rPr>
          <w:sz w:val="28"/>
          <w:szCs w:val="28"/>
        </w:rPr>
        <w:t xml:space="preserve">на 2027 год </w:t>
      </w:r>
      <w:r>
        <w:rPr>
          <w:sz w:val="28"/>
          <w:szCs w:val="28"/>
        </w:rPr>
        <w:t xml:space="preserve">–</w:t>
      </w:r>
      <w:r/>
      <w:r>
        <w:rPr>
          <w:sz w:val="28"/>
          <w:szCs w:val="28"/>
        </w:rPr>
        <w:t xml:space="preserve"> 355 031 985,45 руб.</w:t>
      </w:r>
      <w:r/>
      <w:r/>
    </w:p>
    <w:p>
      <w:pPr>
        <w:ind w:left="0"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Дополнительно средств из краевого бюджета для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МБУ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Надежда</w:t>
      </w:r>
      <w:r>
        <w:rPr>
          <w:sz w:val="28"/>
          <w:szCs w:val="28"/>
          <w:highlight w:val="white"/>
        </w:rPr>
        <w:t xml:space="preserve">»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 потребуется </w:t>
      </w:r>
      <w:r/>
      <w:r>
        <w:rPr>
          <w:sz w:val="28"/>
          <w:szCs w:val="28"/>
          <w:highlight w:val="none"/>
        </w:rPr>
        <w:t xml:space="preserve">:</w:t>
      </w:r>
      <w:r>
        <w:rPr>
          <w:sz w:val="28"/>
          <w:szCs w:val="28"/>
          <w:highlight w:val="none"/>
        </w:rPr>
      </w:r>
    </w:p>
    <w:p>
      <w:pPr>
        <w:ind w:left="0" w:firstLine="709"/>
        <w:jc w:val="both"/>
      </w:pPr>
      <w:r>
        <w:rPr>
          <w:sz w:val="28"/>
          <w:szCs w:val="28"/>
        </w:rPr>
        <w:t xml:space="preserve">на 2025 год – 26 844 975,35 руб.;</w:t>
      </w:r>
      <w:r>
        <w:rPr>
          <w:sz w:val="28"/>
          <w:szCs w:val="28"/>
          <w14:ligatures w14:val="none"/>
        </w:rPr>
      </w:r>
      <w:r/>
    </w:p>
    <w:p>
      <w:pPr>
        <w:ind w:left="0" w:firstLine="709"/>
        <w:jc w:val="both"/>
      </w:pPr>
      <w:r>
        <w:rPr>
          <w:sz w:val="28"/>
          <w:szCs w:val="28"/>
        </w:rPr>
        <w:t xml:space="preserve">на 2026 год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31 848 748,78 руб.; </w:t>
      </w:r>
      <w:r>
        <w:rPr>
          <w:sz w:val="28"/>
          <w:szCs w:val="28"/>
          <w14:ligatures w14:val="none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 2027 год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38 631 754,14 руб.</w:t>
      </w:r>
      <w:r>
        <w:rPr>
          <w:highlight w:val="none"/>
          <w14:ligatures w14:val="none"/>
        </w:rPr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постановления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постановления 15 октября 2024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21 октября 2024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2024-10-14T21:02:12Z</dcterms:modified>
</cp:coreProperties>
</file>