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F9CD7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</w:p>
    <w:p w14:paraId="2C9AFDDE" w14:textId="6A30FD57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Утверждаю:</w:t>
      </w:r>
    </w:p>
    <w:p w14:paraId="7473D8A8" w14:textId="798A91AF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Генеральный директор </w:t>
      </w:r>
    </w:p>
    <w:p w14:paraId="5403E61A" w14:textId="7CE43C91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ООО </w:t>
      </w:r>
      <w:r w:rsidR="00542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«Океан-Газ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62EC686" w14:textId="508A73E1" w:rsidR="00CD7C99" w:rsidRPr="00CD7C99" w:rsidRDefault="00CD7C99" w:rsidP="00CD7C9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 </w:t>
      </w:r>
      <w:proofErr w:type="spellStart"/>
      <w:r w:rsidR="00542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А.В.Сковпень</w:t>
      </w:r>
      <w:proofErr w:type="spellEnd"/>
    </w:p>
    <w:p w14:paraId="50180459" w14:textId="248B1ED0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«___»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 202</w:t>
      </w:r>
      <w:r w:rsidR="00542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D7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 </w:t>
      </w:r>
    </w:p>
    <w:p w14:paraId="7979C54D" w14:textId="4F9323CB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D0F04C" w14:textId="1C9F6D60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33C695" w14:textId="7B906661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B49EB5" w14:textId="45396F2E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6B0111" w14:textId="77777777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48E6A6" w14:textId="4CC5174A" w:rsidR="00CD7C99" w:rsidRDefault="00CD7C99" w:rsidP="00CD7C9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1B596F" w14:textId="6C560C6E" w:rsidR="00CD7C99" w:rsidRPr="00CD7C99" w:rsidRDefault="00CD7C99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ИНВЕСТИЦИОННАЯ ПРОГРАММА</w:t>
      </w:r>
    </w:p>
    <w:p w14:paraId="36698FCE" w14:textId="3C27C548" w:rsidR="00CD7C99" w:rsidRPr="00CD7C99" w:rsidRDefault="00CD7C99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D7C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Общества с ограниченной ответственностью</w:t>
      </w:r>
    </w:p>
    <w:p w14:paraId="1D76ED8F" w14:textId="2A97463E" w:rsidR="00CD7C99" w:rsidRPr="00CD7C99" w:rsidRDefault="002624DF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</w:t>
      </w:r>
      <w:r w:rsidR="005422C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Океан-Газ</w:t>
      </w:r>
      <w:r w:rsidR="00CD7C99" w:rsidRPr="00CD7C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на 202</w:t>
      </w:r>
      <w:r w:rsidR="005422C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-202</w:t>
      </w:r>
      <w:r w:rsidR="00E9667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гг</w:t>
      </w:r>
      <w:proofErr w:type="spellEnd"/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inline distT="0" distB="0" distL="0" distR="0" wp14:anchorId="21A51A5F" wp14:editId="4D12B7A6">
            <wp:extent cx="5464725" cy="3962400"/>
            <wp:effectExtent l="133350" t="114300" r="136525" b="1524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209" cy="400045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7B744A1" w14:textId="77777777" w:rsidR="00CD7C99" w:rsidRDefault="00CD7C99" w:rsidP="00CD7C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3EA8CD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75623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A8BF8" w14:textId="58B66069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г.Петропавловск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-Камчатский</w:t>
      </w:r>
    </w:p>
    <w:p w14:paraId="679D7216" w14:textId="28314152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422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B116E0A" w14:textId="50598440" w:rsidR="00CD7C99" w:rsidRDefault="00CD7C99" w:rsidP="0007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740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Содержание</w:t>
      </w:r>
    </w:p>
    <w:p w14:paraId="153361CC" w14:textId="6F3B7AB7" w:rsidR="000740CA" w:rsidRDefault="000740CA" w:rsidP="0007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7DFB3BE" w14:textId="77777777" w:rsidR="000740CA" w:rsidRPr="000740CA" w:rsidRDefault="000740CA" w:rsidP="00074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A70B194" w14:textId="011A2C61" w:rsidR="000740CA" w:rsidRDefault="000740CA" w:rsidP="000740CA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0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ООО «</w:t>
      </w:r>
      <w:r w:rsidR="00542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Океан-</w:t>
      </w:r>
      <w:proofErr w:type="gramStart"/>
      <w:r w:rsidR="005422C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……………………………………………….</w:t>
      </w:r>
      <w:r w:rsidR="002A3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14:paraId="5DB62D02" w14:textId="6581163A" w:rsidR="000740CA" w:rsidRDefault="000740CA" w:rsidP="000740CA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характеристика инвестиционной программы 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79756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3BBF1BB7" w14:textId="77777777" w:rsidR="000740CA" w:rsidRPr="000740CA" w:rsidRDefault="000740CA" w:rsidP="00EC64E3">
      <w:pPr>
        <w:pStyle w:val="a3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2C9B3" w14:textId="77777777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6A78F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1B2EC0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1A86D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6BC9F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03110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6863F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618F6" w14:textId="77777777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9CC69" w14:textId="63EA504E" w:rsidR="00CD7C99" w:rsidRDefault="00CD7C99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7AA83" w14:textId="39F525D4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8FF60" w14:textId="3029B2AF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8AEE0" w14:textId="2A19B645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24850" w14:textId="364CF75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B962A7" w14:textId="000A744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C09A2" w14:textId="4AAA6205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7F3CF3" w14:textId="7D51F5A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A6E39" w14:textId="5E735719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1447C" w14:textId="220CF9D4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8F701" w14:textId="2C88DC0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D92EC" w14:textId="1BAA18D1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86BC6D" w14:textId="36F78BC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9ED2A" w14:textId="64CC53F9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E70FE" w14:textId="5E018B9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4754B" w14:textId="4F24B7D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E1EE7" w14:textId="08E475A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82A3E5" w14:textId="11D6575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09112" w14:textId="502A46C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A98C4" w14:textId="42F3417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336CB" w14:textId="26F9D068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CE445" w14:textId="618E17A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DA9A0" w14:textId="29D117B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86E6D2" w14:textId="3351FA5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E3665" w14:textId="3579A984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90B4A" w14:textId="33E2E3A9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492B4" w14:textId="3BBCC1B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610191" w14:textId="4B860153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DAB56" w14:textId="2ED2E87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C2DF6" w14:textId="75EC1A5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AA19D" w14:textId="7BD6FE8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FF3BD" w14:textId="6D665A05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87326" w14:textId="158630A1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45053" w14:textId="388A7710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684C5" w14:textId="1C2038E2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2FC3D" w14:textId="0E03643D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934DA" w14:textId="4EDD6DFB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10768" w14:textId="3115F6BA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6FE29" w14:textId="4B713466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40E29" w14:textId="28A8FE04" w:rsidR="000740CA" w:rsidRPr="000740CA" w:rsidRDefault="000740CA" w:rsidP="000740CA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740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сведения ООО «</w:t>
      </w:r>
      <w:r w:rsidR="005422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Океан-Газ</w:t>
      </w:r>
      <w:r w:rsidRPr="000740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337BE244" w14:textId="09EA19BF" w:rsidR="000740CA" w:rsidRDefault="000740CA" w:rsidP="000740C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A6DDB" w14:textId="25C2B05E" w:rsidR="00FA1EE6" w:rsidRPr="00504D2A" w:rsidRDefault="00FA1EE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504D2A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Полное наименование общества –</w:t>
      </w:r>
      <w:r w:rsidR="002624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Общество с ограниченной ответственностью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». Сокращенной наименование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14:paraId="1C0B10F8" w14:textId="6F539E4D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Отраслевая принадлежность: </w:t>
      </w:r>
      <w:r w:rsidR="00D24DCF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электроэнергетика</w:t>
      </w:r>
    </w:p>
    <w:p w14:paraId="3DE1EB7F" w14:textId="52E4AE88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ИНН: 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4100039873</w:t>
      </w:r>
    </w:p>
    <w:p w14:paraId="7EF27A72" w14:textId="2751FD1E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Адрес: 683031 г. Петропавловск-Камчатский, 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Академика Королева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д.35, кв.25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DA9A568" w14:textId="6FC8836E" w:rsidR="00517F0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ФИО Генерального директора: </w:t>
      </w:r>
      <w:proofErr w:type="spellStart"/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Сковпень</w:t>
      </w:r>
      <w:proofErr w:type="spellEnd"/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Андрей Викторович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87CEF16" w14:textId="7C8E961F" w:rsidR="00517F06" w:rsidRPr="00D36760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</w:t>
      </w:r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mail</w:t>
      </w:r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5422C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oceangas</w:t>
      </w:r>
      <w:proofErr w:type="spellEnd"/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>@</w:t>
      </w:r>
      <w:r w:rsidR="005422C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mail</w:t>
      </w:r>
      <w:r w:rsidRPr="00D3676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ru</w:t>
      </w:r>
      <w:proofErr w:type="spellEnd"/>
    </w:p>
    <w:p w14:paraId="5267015A" w14:textId="26BBD4AC" w:rsidR="00FA1EE6" w:rsidRDefault="00517F0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DC01A1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сновной вид деятельности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="00DC01A1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DC01A1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ередача электроэнергии и технологического присоединение к распределительным сетям.</w:t>
      </w:r>
    </w:p>
    <w:p w14:paraId="0EDAA394" w14:textId="494B14FF" w:rsidR="009B5A6C" w:rsidRDefault="009B5A6C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 имеет в собственности:</w:t>
      </w:r>
    </w:p>
    <w:p w14:paraId="0F946D2C" w14:textId="23028863" w:rsidR="005422C0" w:rsidRDefault="009B5A6C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Воздушную линию электропередач на опорах из непропитанной древесины 0,4 </w:t>
      </w:r>
      <w:proofErr w:type="spellStart"/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ТП-499, протяженностью 2078 метров;</w:t>
      </w:r>
    </w:p>
    <w:p w14:paraId="14E70261" w14:textId="6317B153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Кабельную линию электропередач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27 метров;</w:t>
      </w:r>
    </w:p>
    <w:p w14:paraId="2FBDCDCE" w14:textId="440775F0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№ 499, в составе трансформатора ТМ400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 «Ивушка»;</w:t>
      </w:r>
    </w:p>
    <w:p w14:paraId="61686195" w14:textId="65EED74D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(ф. Дачи п/с «Водозабор», СР-28 до ТП-505, до ТП-499), протяженностью 10 метров;</w:t>
      </w:r>
    </w:p>
    <w:p w14:paraId="16C6925F" w14:textId="6F570560" w:rsidR="002A00D9" w:rsidRDefault="002A00D9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Кабельную линию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составе трансформаторной подстанции №530, протяженностью 130 метров;</w:t>
      </w:r>
    </w:p>
    <w:p w14:paraId="40549601" w14:textId="57000A25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№ 530 кадастровый номер 41:01:0010118:753;</w:t>
      </w:r>
    </w:p>
    <w:p w14:paraId="39EDDA32" w14:textId="37921B36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Земельный участок площадью 89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кадастровый номер 41:01:0010118:532;  </w:t>
      </w:r>
    </w:p>
    <w:p w14:paraId="7B2AC46D" w14:textId="061C75A8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Сервитут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принадлежащий на ячейки 4 ТП-526 РУ-10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ячейки 3 ТП-530 РУ-10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фидерах 10,13 секции 1 ТП-530;</w:t>
      </w:r>
    </w:p>
    <w:p w14:paraId="0CDA591E" w14:textId="0567A93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№494 фидер 1,2,3, протяженностью 1965 метров;</w:t>
      </w:r>
    </w:p>
    <w:p w14:paraId="7CCB5564" w14:textId="274B204F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№494 фидер 1,2,3, протяженностью 775 метров СНТСН «Кречет-2»;</w:t>
      </w:r>
    </w:p>
    <w:p w14:paraId="1E8F20A3" w14:textId="78763520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Воздушную линию электропередач на опорах из непропитанной древесины-0,4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№494 фидер 1, протяженностью 665 метров, СНТСН «Березка»;</w:t>
      </w:r>
    </w:p>
    <w:p w14:paraId="69E0F333" w14:textId="47CECEC4" w:rsidR="002A00D9" w:rsidRDefault="002A00D9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Трансформаторная подстанция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киоскового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типа № 494, в составе ТМ 250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СНТСН «Березка»;</w:t>
      </w:r>
    </w:p>
    <w:p w14:paraId="5C3F2002" w14:textId="40CC757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из непропитанной древесины -10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(ф. Дачи ПС «Водозабор») от опоры №79 до ТП-494 СНТСН «Березка»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10 метров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38BD0292" w14:textId="002AC43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Кабельный ввод от опоры №79/3, в ТП-494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17 метров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298815D6" w14:textId="63DF0C31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216 метров и столбовую комплектную трансформаторную подстанцию № 14-21, с кадастровым номером 41:05:0101081:2620;</w:t>
      </w:r>
    </w:p>
    <w:p w14:paraId="7EE3AF94" w14:textId="3679AAB9" w:rsidR="002A00D9" w:rsidRDefault="002A00D9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180 метров;</w:t>
      </w:r>
    </w:p>
    <w:p w14:paraId="7B4D8ABA" w14:textId="548D03C9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подземной прокладки от СКТП-14-21 до опоры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№ ,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протяженностью 25 метров;</w:t>
      </w:r>
    </w:p>
    <w:p w14:paraId="2ED46466" w14:textId="7EC248EA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</w:t>
      </w:r>
      <w:r w:rsidRP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0,4 </w:t>
      </w:r>
      <w:proofErr w:type="spellStart"/>
      <w:r w:rsidRP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P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от СКТП-14-21 фидер 1,2,3, протяженностью 298 метров;</w:t>
      </w:r>
    </w:p>
    <w:p w14:paraId="0995CE22" w14:textId="1C649EB6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6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ТП-201П, протяженностью 70 метров;</w:t>
      </w:r>
    </w:p>
    <w:p w14:paraId="5B296044" w14:textId="19AB2673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Кабельные линии электропередач подземной прокладки от опоры № 28/2 до ТП-201П, протяженностью 20 метров;</w:t>
      </w:r>
    </w:p>
    <w:p w14:paraId="55EEDA06" w14:textId="22D826AF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№ 201П, в составе трансформатора ТМ 250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6/10/0,4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ГСК №144;</w:t>
      </w:r>
    </w:p>
    <w:p w14:paraId="5950D1C1" w14:textId="6F4BB7CD" w:rsidR="005422C0" w:rsidRDefault="005422C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C50E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Земельный участок общей площадью 524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кадастровый номер 41:05:0101081:2166;</w:t>
      </w:r>
    </w:p>
    <w:p w14:paraId="31C9E8AC" w14:textId="7E3B1A36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фидер 1 (ТП-263, ф.8, опора №15), протяженностью 655 метров;</w:t>
      </w:r>
    </w:p>
    <w:p w14:paraId="18B040FE" w14:textId="5D06DFAC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опоры №20, СНТ «Полет-1» до ТП №553, </w:t>
      </w:r>
      <w:r w:rsidR="002A00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протяженностью 620 метров,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СНТ «Рябинка»;</w:t>
      </w:r>
    </w:p>
    <w:p w14:paraId="69515EE4" w14:textId="176D9363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№553, СНТ «Рябинка»;</w:t>
      </w:r>
    </w:p>
    <w:p w14:paraId="24B59D22" w14:textId="3C956016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553, протяженностью 1720 метров, СНТ «Рябинка»;</w:t>
      </w:r>
    </w:p>
    <w:p w14:paraId="6FA2E894" w14:textId="77777777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Воздушную линию электропередач на опорах из непропитанной древесины - 10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опоры №345 (ПС «Водозабор», ф. Дачи) до ТП №550, протяженностью 1000 метров, СНТ «Полет-1»;</w:t>
      </w:r>
    </w:p>
    <w:p w14:paraId="231B7E1E" w14:textId="6D59B42E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киоскового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типа №55, в составе трансформатор ТМ-250/10, СНТ «Полет-1»;</w:t>
      </w:r>
    </w:p>
    <w:p w14:paraId="05F014E0" w14:textId="77777777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 РВЗ-10/1000 (РУ-10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ТП № 20-36 СНТ «Якорь-1») к ТП-20-34 ТСН «СНТ Здоровье», протяженностью 1200 метров;</w:t>
      </w:r>
    </w:p>
    <w:p w14:paraId="02C95295" w14:textId="7D48CFD2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20-34, в составе трансформатор ТМ-400/10, СНТ «Здоровье»;</w:t>
      </w:r>
    </w:p>
    <w:p w14:paraId="35E5A8DD" w14:textId="1515B837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№496, в составе трансформатор ТМ-160/10, ТСН «Мукомол»;</w:t>
      </w:r>
    </w:p>
    <w:p w14:paraId="4258F9C1" w14:textId="789ECA46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подстанцию, кадастровый номер 41:01:0010114:5688, в составе двух трансформаторов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мощностью 1600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каждый, кабельные линии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протяженностью 295 метров,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протяженностью 80 метров по ул. Ломоносова;</w:t>
      </w:r>
    </w:p>
    <w:p w14:paraId="3A25E98F" w14:textId="05C577D9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от РВЗ-10/1000 (СНТ «Рябинка») к ТП-20-36 (ТСН «Якорь-1»), протяженностью 170 метров;</w:t>
      </w:r>
    </w:p>
    <w:p w14:paraId="03937017" w14:textId="45C51411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мачтового типа № 20-36, в составе трансформатор ТМ-160/10, ТСН «Якорь-1»;</w:t>
      </w:r>
    </w:p>
    <w:p w14:paraId="349FA658" w14:textId="70BC087E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-0,4/0,22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3270 метров,</w:t>
      </w:r>
      <w:r w:rsidRPr="00C50E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СНТ «Восход»;</w:t>
      </w:r>
    </w:p>
    <w:p w14:paraId="449770D4" w14:textId="5DB6FF4F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киоскового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типа ТМ 160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 «Восход»;</w:t>
      </w:r>
    </w:p>
    <w:p w14:paraId="506D6A77" w14:textId="1F0BB909" w:rsidR="00C50EE3" w:rsidRDefault="00C50EE3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1540 метров;</w:t>
      </w:r>
    </w:p>
    <w:p w14:paraId="35FD46EE" w14:textId="398D231B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910 метров, СНТ Солнечная;</w:t>
      </w:r>
    </w:p>
    <w:p w14:paraId="7688A483" w14:textId="046261D2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мачтового типа № МК-6, в составе трансформатор ТМГ-40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 «Меркурий»;</w:t>
      </w:r>
    </w:p>
    <w:p w14:paraId="54E5DA27" w14:textId="15E28123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мачтового типа № МК-5, в составе трансформатор ТМГ-250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 «Мечта»;</w:t>
      </w:r>
    </w:p>
    <w:p w14:paraId="690479A2" w14:textId="70DD5911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Трансформаторную подстанцию мачтового типа № МК-4, в составе трансформатор ТМ-250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ТСН «Березка»;</w:t>
      </w:r>
    </w:p>
    <w:p w14:paraId="2E1C949E" w14:textId="207F0CEB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древесины- 0,4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(МТП-МК-4, ф.1), протяженностью 1340 метров, ТСН «Березка ЕМПРЭО»;</w:t>
      </w:r>
    </w:p>
    <w:p w14:paraId="551562EA" w14:textId="2C42EC6C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мачтового типа № МК-3, в составе трансформатор ТМ-250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ТСН «Радуга»;</w:t>
      </w:r>
    </w:p>
    <w:p w14:paraId="1E74A442" w14:textId="2D69536D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 Воздушную линию электропередач на опорах из непропитанной древесины- 0,4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(МТП-МК-3, ф.1), протяженностью 1215 метров, ТСН «Радуга»;</w:t>
      </w:r>
    </w:p>
    <w:p w14:paraId="1241A79D" w14:textId="18E6880F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мачтового типа № МК-2, в составе трансформатор ТМ-250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ТСН «Теремок»;</w:t>
      </w:r>
    </w:p>
    <w:p w14:paraId="17D14027" w14:textId="77777777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 Воздушную линию электропередач на опорах из непропитанной древесины- 0,4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(МТП-МК-2, ф.1), протяженностью 1536 метров, ТСН «Теремок»;</w:t>
      </w:r>
    </w:p>
    <w:p w14:paraId="7E651DA9" w14:textId="21BBC2DB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 Воздушную линию электропередач на опорах из непропитанной древесины- 0,4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(МТП-МК-6, ф.1), протяженностью 140 метров, СНТ «Меркурий»;</w:t>
      </w:r>
    </w:p>
    <w:p w14:paraId="1819E9FE" w14:textId="5A550D1A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мачтового типа № МК-1, в составе трансформатор ТМ-40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объездная дорога 22-й км;</w:t>
      </w:r>
    </w:p>
    <w:p w14:paraId="2CEBB86B" w14:textId="220930E1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древесины- 10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портала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СНТ «Меркурий» до ТП 20-36 СНТСН «Якорь-2» протяженностью 1700 метров;</w:t>
      </w:r>
    </w:p>
    <w:p w14:paraId="55A4EA59" w14:textId="382E5C93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Кабельный ввод от опоры № 38 в ТП 20-36, протяженностью 13 метров, СНТСН «Якорь-2»;</w:t>
      </w:r>
    </w:p>
    <w:p w14:paraId="2E1F1585" w14:textId="3E37CFC0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Воздушную линию электропередач на опорах из непропитанной древесины- 0,22/0,4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(ТП №407, ф.2,3), протяженностью 3022 метров;</w:t>
      </w:r>
    </w:p>
    <w:p w14:paraId="22C35C16" w14:textId="3EAF4E14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Воздушную линию электропередач на опорах из непропитанной древесины- 10/0,4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(ТП №20-24), протяженностью 2065 метров, ТСН «Жемчужина»;</w:t>
      </w:r>
    </w:p>
    <w:p w14:paraId="7E29C04E" w14:textId="6A725A0D" w:rsidR="00C50EE3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650 метров, ТСН «Жемчужина»;</w:t>
      </w:r>
    </w:p>
    <w:p w14:paraId="2F3D3649" w14:textId="77777777" w:rsidR="00357E15" w:rsidRPr="002A00D9" w:rsidRDefault="00C50EE3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160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ТП № 20-24, ТСН «Жемчужина»;</w:t>
      </w:r>
    </w:p>
    <w:p w14:paraId="60E06ABC" w14:textId="5C076661" w:rsidR="00C50EE3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7E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Трансформаторную подстанцию № 24-8, в составе ТМ 160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10/0,4кВ, </w:t>
      </w:r>
      <w:r w:rsidR="006C6CAC">
        <w:rPr>
          <w:rFonts w:ascii="Times New Roman" w:eastAsia="Times New Roman" w:hAnsi="Times New Roman" w:cs="Times New Roman"/>
          <w:sz w:val="27"/>
          <w:szCs w:val="27"/>
          <w:lang w:eastAsia="ru-RU"/>
        </w:rPr>
        <w:t>+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СОДНТ «Дружба»;</w:t>
      </w:r>
    </w:p>
    <w:p w14:paraId="7105600E" w14:textId="11F496AF" w:rsidR="00357E15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Кабельную линию электропередач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оп. №46 к ТП № 24-8, протяженностью 120 метров, СОДНТ «Дружба»;</w:t>
      </w:r>
    </w:p>
    <w:p w14:paraId="6F456A00" w14:textId="5E508AAD" w:rsidR="00357E15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-0,4/0,22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№20-36 ф.1,2,3, протяженностью 5060 метров, СНТСН «Якорь-2»;</w:t>
      </w:r>
    </w:p>
    <w:p w14:paraId="52E4F726" w14:textId="661C8603" w:rsidR="00357E15" w:rsidRDefault="00357E15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</w:t>
      </w:r>
      <w:proofErr w:type="spellStart"/>
      <w:r w:rsidR="00967CD5">
        <w:rPr>
          <w:rFonts w:ascii="Times New Roman" w:eastAsia="Times New Roman" w:hAnsi="Times New Roman" w:cs="Times New Roman"/>
          <w:sz w:val="27"/>
          <w:szCs w:val="27"/>
          <w:lang w:eastAsia="ru-RU"/>
        </w:rPr>
        <w:t>киоскового</w:t>
      </w:r>
      <w:proofErr w:type="spellEnd"/>
      <w:r w:rsidR="00967CD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типа № 20-36 в составе ТМ 250/10, СНТСН «Якорь-2»;</w:t>
      </w:r>
    </w:p>
    <w:p w14:paraId="6F4DFF46" w14:textId="63CBB486" w:rsidR="00967CD5" w:rsidRDefault="009020FF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20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Кабельные линии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от ТП № 425 до РВЗ-6-10 в ТП-429, протяженностью 715 метров</w:t>
      </w:r>
      <w:r w:rsidR="004511A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18D95C31" w14:textId="7065E55B" w:rsidR="004511AB" w:rsidRDefault="004511AB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стальных опорах - 0,4/0,22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ТП №429, протяженностью 1070 метров;</w:t>
      </w:r>
    </w:p>
    <w:p w14:paraId="2819B852" w14:textId="14E1934E" w:rsidR="004511AB" w:rsidRDefault="004B11D1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№ 429, в составе ТМ -160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РВЗ -6-10(10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14:paraId="2CDCD993" w14:textId="7AE6769F" w:rsidR="004B11D1" w:rsidRDefault="004B11D1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№ 20-14, в составе ТМ -250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 w:rsidR="00DE77EA"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 «Колос»;</w:t>
      </w:r>
    </w:p>
    <w:p w14:paraId="7661BDA6" w14:textId="3B0BAEB7" w:rsidR="00DE77EA" w:rsidRDefault="00DE77EA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№ 407, в составе ТМ -400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выключатель нагрузки с пружинным приводом (ВНП-10);</w:t>
      </w:r>
    </w:p>
    <w:p w14:paraId="4A3A7460" w14:textId="5AFB4D92" w:rsidR="00DE77EA" w:rsidRDefault="00DE77EA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ТП № 24-6 ф.2,3, протяженностью 1060 метров;</w:t>
      </w:r>
    </w:p>
    <w:p w14:paraId="75DBC7F5" w14:textId="0C6EF544" w:rsidR="00DE77EA" w:rsidRDefault="00DE77EA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Трансформаторную подстанцию мачтовую № 24-6</w:t>
      </w:r>
      <w:r w:rsidR="004958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составе ТМ -630 </w:t>
      </w:r>
      <w:proofErr w:type="spellStart"/>
      <w:r w:rsidR="004958E2"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 w:rsidR="004958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 w:rsidR="004958E2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="004958E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17C3DFB6" w14:textId="5EB25702" w:rsidR="004958E2" w:rsidRDefault="004958E2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№ 24-7 ф.2, протяженностью 1610 метров, СНТ «Волна»;</w:t>
      </w:r>
    </w:p>
    <w:p w14:paraId="4426B1D7" w14:textId="77777777" w:rsidR="004958E2" w:rsidRDefault="004958E2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 Трансформаторную подстанцию № 425, в составе ТМ -400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РВЗ -6-10;</w:t>
      </w:r>
    </w:p>
    <w:p w14:paraId="51E03D1E" w14:textId="2B528F89" w:rsidR="004958E2" w:rsidRDefault="004958E2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опоры № 53 к ТП – 425, протяженностью 20 метров;</w:t>
      </w:r>
    </w:p>
    <w:p w14:paraId="19594A1F" w14:textId="755BE1BC" w:rsidR="000265EE" w:rsidRDefault="000265EE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ТП </w:t>
      </w:r>
      <w:r w:rsidR="007F50AD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 425 ф.1,2, протяженностью 3631 метров</w:t>
      </w:r>
      <w:r w:rsidR="007F50A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0DCDC0DB" w14:textId="5DE368DD" w:rsidR="007F50AD" w:rsidRDefault="007F50AD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№ 24-6 ф.1, протяженностью 1948 метров, СНТСН «Дубрава-1»;</w:t>
      </w:r>
    </w:p>
    <w:p w14:paraId="783AD34D" w14:textId="170986AD" w:rsidR="007F50AD" w:rsidRDefault="007F50AD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Трансформаторную подстанцию № 20-28, в составе ТМ-160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 «Башмачок»;</w:t>
      </w:r>
    </w:p>
    <w:p w14:paraId="63805870" w14:textId="240FC66E" w:rsidR="007F50AD" w:rsidRDefault="007F50AD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CA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Воздушную линию электропередач на опорах из непропитанной древесины -0,4 </w:t>
      </w:r>
      <w:proofErr w:type="spellStart"/>
      <w:r w:rsidR="00CA0F5C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="00CA0F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20-28, протяженностью 1980 метров, СНТ «Башмачок»;</w:t>
      </w:r>
    </w:p>
    <w:p w14:paraId="7A51674F" w14:textId="6FD5BEF4" w:rsidR="00CA0F5C" w:rsidRDefault="00CA0F5C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ТП 24-7 ф.1, протяженностью 800 метров, СНТСН «Кооператор»;</w:t>
      </w:r>
    </w:p>
    <w:p w14:paraId="760B8695" w14:textId="1B587D62" w:rsidR="00CA0F5C" w:rsidRDefault="00CA0F5C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опоры № 46 (СР-87) ф.9 «Орбита» п/с Новая до ТП № 24-7, протяженностью 1300 метров, СНТСН «Кооператор»;</w:t>
      </w:r>
    </w:p>
    <w:p w14:paraId="2CCEE4A8" w14:textId="7E96DE60" w:rsidR="00CA0F5C" w:rsidRDefault="00CA0F5C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№ 24-7, в составе ТМ-400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СНТСН «Кооператор»;</w:t>
      </w:r>
    </w:p>
    <w:p w14:paraId="7CDE0CAC" w14:textId="1EF65788" w:rsidR="00CA0F5C" w:rsidRDefault="00B33F17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ТП №426, ф.4 ВРУ №3, протяженностью 835 метров, СНТ «Калинка»;</w:t>
      </w:r>
    </w:p>
    <w:p w14:paraId="6B88C5FC" w14:textId="39768FA2" w:rsidR="00B33F17" w:rsidRDefault="00B33F17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</w:t>
      </w:r>
      <w:r w:rsidR="00C41D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электропередач – 0,4 </w:t>
      </w:r>
      <w:proofErr w:type="spellStart"/>
      <w:r w:rsidR="00C41DAB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="00C41DA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ТП № 426 ф.3, ВРУ № 2, протяженностью 1055 метров, СНТСН «Агат»;</w:t>
      </w:r>
    </w:p>
    <w:p w14:paraId="0AC7D324" w14:textId="62ABF27F" w:rsidR="00C41DAB" w:rsidRDefault="00C41DAB" w:rsidP="00C50EE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0909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Кабельные линии электропередач – 0,4 </w:t>
      </w:r>
      <w:proofErr w:type="spellStart"/>
      <w:r w:rsidR="0009090C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="000909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ТП № 426 ф.5, протяженностью 170 метров, СНТ «Энергетик </w:t>
      </w:r>
      <w:proofErr w:type="spellStart"/>
      <w:r w:rsidR="0009090C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Дальэлектромонтаж</w:t>
      </w:r>
      <w:proofErr w:type="spellEnd"/>
      <w:r w:rsidR="0009090C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14:paraId="772E2F74" w14:textId="00AE9641" w:rsidR="0009090C" w:rsidRDefault="0009090C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ТП № 426 ф.5, протяженностью 1360 метров СНТ «Энергетик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Дальэлектромонтаж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14:paraId="44C6DC22" w14:textId="4FDD89D5" w:rsidR="0009090C" w:rsidRDefault="0009090C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ТП № 426 ф.2, протяженностью 2255 метров;</w:t>
      </w:r>
    </w:p>
    <w:p w14:paraId="00FDA366" w14:textId="3FE6B3B2" w:rsidR="0009090C" w:rsidRDefault="00BB1526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0,4кВ, ТП №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426  ф.1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1450 метров;</w:t>
      </w:r>
    </w:p>
    <w:p w14:paraId="108893A7" w14:textId="5AB9B939" w:rsidR="00BB1526" w:rsidRDefault="00BB1526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="00D33E60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 ТП №425 к ТП № 426, протяженностью 930 метров;</w:t>
      </w:r>
    </w:p>
    <w:p w14:paraId="1E1E4A08" w14:textId="77777777" w:rsidR="00D33E60" w:rsidRDefault="00D33E60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опоры № 1 к ТП № 425 и ТП № МТП-МК-2, протяженностью 2360 метров, ТСН «Теремок»;</w:t>
      </w:r>
    </w:p>
    <w:p w14:paraId="6F9AC9B2" w14:textId="77777777" w:rsidR="00D33E60" w:rsidRDefault="00D33E60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Трансформаторную подстанцию № 426, в составе ТМ -400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10/0,4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СНТСН «Домостроитель-2»;</w:t>
      </w:r>
    </w:p>
    <w:p w14:paraId="0D72AE26" w14:textId="078A6918" w:rsidR="00D33E60" w:rsidRDefault="00D33E60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Воздушную линию электропередач на опорах из непропитанной древесины -10 </w:t>
      </w:r>
      <w:proofErr w:type="spellStart"/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300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метров;</w:t>
      </w:r>
    </w:p>
    <w:p w14:paraId="5BB33169" w14:textId="0776A28A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1830 метров;</w:t>
      </w:r>
    </w:p>
    <w:p w14:paraId="775B2F88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2350 метров, СНТ «ТЭЦ-2, Кедровый2;</w:t>
      </w:r>
    </w:p>
    <w:p w14:paraId="37C83336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35 метров, ТСН «Радуга»;</w:t>
      </w:r>
    </w:p>
    <w:p w14:paraId="11321DEE" w14:textId="4E9C2B78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140 метров, СНТ «Меркурий»;</w:t>
      </w:r>
    </w:p>
    <w:p w14:paraId="3A1AB378" w14:textId="5099CB28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10</w:t>
      </w:r>
      <w:r w:rsidR="00E900FA" w:rsidRPr="00E900FA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метров, СНТ «Березка»,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Моховской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14:paraId="1717314D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2056 метров, СНТ «Заводской», «Жемчужина»;</w:t>
      </w:r>
    </w:p>
    <w:p w14:paraId="5982CF1E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600 метров, СНТ «Энергетик», «Башмачок»;</w:t>
      </w:r>
    </w:p>
    <w:p w14:paraId="047907BF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900 метров, СНТ «Зеленая роща»;</w:t>
      </w:r>
    </w:p>
    <w:p w14:paraId="7231C5BE" w14:textId="5865FE41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- 10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 65 метров, СНТ «Колос»;</w:t>
      </w:r>
    </w:p>
    <w:p w14:paraId="0CC49F2C" w14:textId="035A5CB0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Кабельные линии электропередач -10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25 метров, СНТ «Колос»;</w:t>
      </w:r>
    </w:p>
    <w:p w14:paraId="5E0AC979" w14:textId="77777777" w:rsidR="0079756F" w:rsidRDefault="0079756F" w:rsidP="0009090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линию электропередач на опорах из непропитанной древесины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протяженностью 2200 метров;</w:t>
      </w:r>
    </w:p>
    <w:p w14:paraId="2E8685D4" w14:textId="77777777" w:rsidR="0079756F" w:rsidRDefault="0079756F" w:rsidP="008C4BAE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Воздушную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линиию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электропередач на опорах из непропитанной древесины – 10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протяженностью 105 метров. </w:t>
      </w:r>
    </w:p>
    <w:p w14:paraId="0A435507" w14:textId="2FE9B81B" w:rsidR="008C4BAE" w:rsidRDefault="00DC01A1" w:rsidP="008C4BAE">
      <w:pPr>
        <w:spacing w:after="0" w:line="360" w:lineRule="auto"/>
        <w:jc w:val="both"/>
      </w:pP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Одной из основных целей инвестиционной программы на 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>гг</w:t>
      </w:r>
      <w:proofErr w:type="spellEnd"/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является поддерж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ание надлежащего состояния э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ксплуат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ируемого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оборудования, необходимого для достаточного, надежного и бесперебойного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электроснабжения потребителей, обеспечени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безопасности работы оборудования, модернизаци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основных фондов, 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повышение стандартов качества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учета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обслуживания потребителей,</w:t>
      </w:r>
      <w:r w:rsidR="00504D2A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внедрение новых программно-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технических решений</w:t>
      </w:r>
      <w:r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мониторинг режимов потребления электроэнергии, исключение неучтенного потребления, а также фактов несанкционированного вмешательства потребителей в работу приборов учета, обеспечение корректного определения объема потребления электроэнергии, упрощение процесса передачи показаний </w:t>
      </w:r>
      <w:r w:rsidR="00504D2A" w:rsidRPr="00504D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финансовой дисциплины потребителей, повышение прозрачности начислений по показаниям приборов учета</w:t>
      </w:r>
      <w:r w:rsidR="00D61C7F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8C4B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</w:t>
      </w:r>
      <w:r w:rsidR="00D61C7F"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исполнение требований законодательства РФ ( ФЗ от 27.12.2018 №522) в части замены приборов учета (далее ПУ) потребителей у которых истек срок </w:t>
      </w:r>
      <w:proofErr w:type="spellStart"/>
      <w:r w:rsidR="00D61C7F"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межповерочного</w:t>
      </w:r>
      <w:proofErr w:type="spellEnd"/>
      <w:r w:rsidR="00D61C7F"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интервала и включение ПУ в систему автоматизированного учета электроэнергии</w:t>
      </w:r>
      <w:r w:rsidR="00D61C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C4BAE" w:rsidRPr="008C4BAE">
        <w:t xml:space="preserve"> </w:t>
      </w:r>
    </w:p>
    <w:p w14:paraId="34489E1B" w14:textId="7FA22295" w:rsidR="00431427" w:rsidRP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 xml:space="preserve">Итого: ВЛ-0,4 </w:t>
      </w:r>
      <w:proofErr w:type="spellStart"/>
      <w:r w:rsidRPr="0043142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31427">
        <w:rPr>
          <w:rFonts w:ascii="Times New Roman" w:hAnsi="Times New Roman" w:cs="Times New Roman"/>
          <w:sz w:val="24"/>
          <w:szCs w:val="24"/>
        </w:rPr>
        <w:t>- 48,206 метров;</w:t>
      </w:r>
    </w:p>
    <w:p w14:paraId="63F0CA68" w14:textId="6BF22000" w:rsidR="00431427" w:rsidRP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A1AA0">
        <w:rPr>
          <w:rFonts w:ascii="Times New Roman" w:hAnsi="Times New Roman" w:cs="Times New Roman"/>
          <w:sz w:val="24"/>
          <w:szCs w:val="24"/>
        </w:rPr>
        <w:t xml:space="preserve"> </w:t>
      </w:r>
      <w:r w:rsidRPr="00431427">
        <w:rPr>
          <w:rFonts w:ascii="Times New Roman" w:hAnsi="Times New Roman" w:cs="Times New Roman"/>
          <w:sz w:val="24"/>
          <w:szCs w:val="24"/>
        </w:rPr>
        <w:t xml:space="preserve">ВЛ-10 </w:t>
      </w:r>
      <w:proofErr w:type="spellStart"/>
      <w:r w:rsidRPr="0043142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31427">
        <w:rPr>
          <w:rFonts w:ascii="Times New Roman" w:hAnsi="Times New Roman" w:cs="Times New Roman"/>
          <w:sz w:val="24"/>
          <w:szCs w:val="24"/>
        </w:rPr>
        <w:t xml:space="preserve"> – 19,586 метров;</w:t>
      </w:r>
    </w:p>
    <w:p w14:paraId="189E4DB7" w14:textId="6B30D534" w:rsidR="00431427" w:rsidRP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 xml:space="preserve">             КЛ – 10 </w:t>
      </w:r>
      <w:proofErr w:type="spellStart"/>
      <w:r w:rsidRPr="0043142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31427">
        <w:rPr>
          <w:rFonts w:ascii="Times New Roman" w:hAnsi="Times New Roman" w:cs="Times New Roman"/>
          <w:sz w:val="24"/>
          <w:szCs w:val="24"/>
        </w:rPr>
        <w:t xml:space="preserve"> – 3,901 метров;</w:t>
      </w:r>
    </w:p>
    <w:p w14:paraId="079C3A85" w14:textId="6BE407A7" w:rsidR="00431427" w:rsidRDefault="00431427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427">
        <w:rPr>
          <w:rFonts w:ascii="Times New Roman" w:hAnsi="Times New Roman" w:cs="Times New Roman"/>
          <w:sz w:val="24"/>
          <w:szCs w:val="24"/>
        </w:rPr>
        <w:t xml:space="preserve">             КЛ – 0,4 </w:t>
      </w:r>
      <w:proofErr w:type="spellStart"/>
      <w:r w:rsidRPr="0043142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31427">
        <w:rPr>
          <w:rFonts w:ascii="Times New Roman" w:hAnsi="Times New Roman" w:cs="Times New Roman"/>
          <w:sz w:val="24"/>
          <w:szCs w:val="24"/>
        </w:rPr>
        <w:t xml:space="preserve"> – 2,791 метров</w:t>
      </w:r>
      <w:r w:rsidR="00FA1AA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606941F" w14:textId="03C127ED" w:rsidR="00FA1AA0" w:rsidRDefault="00FA1AA0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МТП- 18 штук;</w:t>
      </w:r>
    </w:p>
    <w:p w14:paraId="24257143" w14:textId="22E52035" w:rsidR="00FA1AA0" w:rsidRDefault="00FA1AA0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Однотрансформаторных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КТПН -11 штук;</w:t>
      </w:r>
    </w:p>
    <w:p w14:paraId="247C164D" w14:textId="5AB6188E" w:rsidR="00FA1AA0" w:rsidRPr="00431427" w:rsidRDefault="00FA1AA0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Двухтрансофрматорных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КТПН – 2 штук.</w:t>
      </w:r>
    </w:p>
    <w:p w14:paraId="27762226" w14:textId="77777777" w:rsidR="008C4BAE" w:rsidRPr="00431427" w:rsidRDefault="008C4BAE" w:rsidP="008C4B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C5774" w14:textId="7188C0A6" w:rsidR="002A3026" w:rsidRPr="002A3026" w:rsidRDefault="002A3026" w:rsidP="002A3026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Краткая характеристика инвестиционной программы</w:t>
      </w:r>
    </w:p>
    <w:p w14:paraId="3EC4B507" w14:textId="265392E0" w:rsidR="00FA1EE6" w:rsidRDefault="00FA1EE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F36500C" w14:textId="7F66EDF9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Объем капитальных вложений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гг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выполнения мероприятий инвестиционной программы составляет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18 150,40</w:t>
      </w:r>
      <w:r w:rsidR="002752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., в том числе:</w:t>
      </w:r>
    </w:p>
    <w:p w14:paraId="24428A73" w14:textId="290AFEBD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 202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</w:t>
      </w:r>
      <w:r w:rsidR="008334A0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3 338,00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.;</w:t>
      </w:r>
      <w:r w:rsidR="005755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558427F1" w14:textId="575AEF43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 202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</w:t>
      </w:r>
      <w:r w:rsidR="002752BB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104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3 548,00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.;</w:t>
      </w:r>
    </w:p>
    <w:p w14:paraId="1ED6019B" w14:textId="5983BB1F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в 202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году</w:t>
      </w:r>
      <w:r w:rsidR="00D61C7F"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52BB"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10492" w:rsidRP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3 610,40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proofErr w:type="gramEnd"/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583D9018" w14:textId="2EBF9AB4" w:rsidR="00FA1AA0" w:rsidRDefault="00FA1AA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2028 году 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3 754,80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proofErr w:type="gramEnd"/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2481E82B" w14:textId="0D4DF771" w:rsidR="00E916F0" w:rsidRPr="007367A8" w:rsidRDefault="00E916F0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2029 году 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3 899,20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млн.руб</w:t>
      </w:r>
      <w:proofErr w:type="spellEnd"/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12081980" w14:textId="7C974C63" w:rsidR="002A3026" w:rsidRDefault="002A3026" w:rsidP="00FA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нвестиционн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>включает в себя следующи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AE51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5CE49DED" w14:textId="4A79327F" w:rsidR="009A2ECC" w:rsidRPr="00C56F42" w:rsidRDefault="00647E70" w:rsidP="009A2E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40566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Реконструкция воздушной линии 0,4-кВ, ТП №426, фидер 4 ВРУ № 3 (СНТ "Калинка")</w:t>
      </w:r>
      <w:r w:rsid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9A2ECC" w:rsidRP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Замена </w:t>
      </w:r>
      <w:r w:rsidR="00792D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воздушной</w:t>
      </w:r>
      <w:r w:rsidR="00206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линии </w:t>
      </w:r>
      <w:r w:rsidR="009A2ECC" w:rsidRP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АС 4х50 на провод СИП </w:t>
      </w:r>
      <w:r w:rsidR="009A2ECC" w:rsidRP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4х95мм2 в СНТ «Калинка»</w:t>
      </w:r>
      <w:r w:rsidR="00206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расположенная </w:t>
      </w:r>
      <w:r w:rsidR="009A2ECC" w:rsidRP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 адресу: Камчатский кра</w:t>
      </w:r>
      <w:r w:rsidR="009A2E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й, </w:t>
      </w:r>
      <w:r w:rsidR="009A2ECC" w:rsidRP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Елизовский район, территория 1-я Мутная река.</w:t>
      </w:r>
    </w:p>
    <w:p w14:paraId="498B77F2" w14:textId="70B00F54" w:rsidR="009A2ECC" w:rsidRDefault="009A2ECC" w:rsidP="009A2ECC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88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Замена 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провода АС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обустройство заземления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будет производится в связи с длительным сроком службы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более 40 лет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так как высока вероятность поражения электрическим током при обрыве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E73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Замен опор в количестве </w:t>
      </w:r>
      <w:r w:rsidR="00087632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DE73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штук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>, высокая степень износа.</w:t>
      </w:r>
    </w:p>
    <w:p w14:paraId="0E6E93BA" w14:textId="4CE540D4" w:rsidR="00887106" w:rsidRPr="00887106" w:rsidRDefault="009A2ECC" w:rsidP="00D70EF8">
      <w:pPr>
        <w:spacing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</w:t>
      </w:r>
      <w:r w:rsidR="00286BDA" w:rsidRPr="00286BDA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FC526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     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</w:t>
      </w:r>
      <w:r w:rsidR="00E9667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7367A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FA1AA0">
        <w:rPr>
          <w:rFonts w:ascii="Times New Roman" w:eastAsia="Times New Roman" w:hAnsi="Times New Roman" w:cs="Times New Roman"/>
          <w:sz w:val="27"/>
          <w:szCs w:val="27"/>
          <w:lang w:eastAsia="ru-RU"/>
        </w:rPr>
        <w:t>ах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ООО «</w:t>
      </w:r>
      <w:r w:rsidR="005422C0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Океан-Газ</w:t>
      </w:r>
      <w:r w:rsidR="00887106" w:rsidRPr="00887106">
        <w:rPr>
          <w:rFonts w:ascii="Times New Roman" w:eastAsia="Times New Roman" w:hAnsi="Times New Roman" w:cs="Times New Roman"/>
          <w:sz w:val="27"/>
          <w:szCs w:val="27"/>
          <w:lang w:eastAsia="ru-RU"/>
        </w:rPr>
        <w:t>» планирует:</w:t>
      </w:r>
    </w:p>
    <w:p w14:paraId="21291913" w14:textId="3C65E560" w:rsidR="00647E70" w:rsidRDefault="00887106" w:rsidP="00647E70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</w:t>
      </w:r>
      <w:r w:rsidR="003944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</w:t>
      </w:r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еконструкци</w:t>
      </w:r>
      <w:r w:rsidR="00FA1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</w:t>
      </w:r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воздушной линии 0,4-кВ от ТП 24-7 фидер 1 протяженностью 800 метров и воздушной линии 10 </w:t>
      </w:r>
      <w:proofErr w:type="spellStart"/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кВ</w:t>
      </w:r>
      <w:proofErr w:type="spellEnd"/>
      <w:r w:rsidR="005944C7" w:rsidRPr="0059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от опоры № 46 (СР-87 ф.9 "Орбита" п/с Новая до ТП 24-7 (СНТ "Кооператор")</w:t>
      </w:r>
      <w:r w:rsidR="00EC64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которая</w:t>
      </w:r>
      <w:r w:rsid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E640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расположенная</w:t>
      </w:r>
      <w:r w:rsidR="00C5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по адресу: Камчатский край, Елизовский район, территория 28 км</w:t>
      </w:r>
      <w:r w:rsidR="00647E70" w:rsidRP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с полной заменой опор в количестве 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59</w:t>
      </w:r>
      <w:r w:rsidR="00647E70" w:rsidRP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штук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</w:t>
      </w:r>
      <w:r w:rsid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заменой питающей линии</w:t>
      </w:r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0,4 </w:t>
      </w:r>
      <w:proofErr w:type="spellStart"/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кВ</w:t>
      </w:r>
      <w:proofErr w:type="spellEnd"/>
      <w:r w:rsid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АС-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3х</w:t>
      </w:r>
      <w:r w:rsidR="00647E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35 на СИП2 4х95 протяженностью 800 метров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, 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 10 </w:t>
      </w:r>
      <w:proofErr w:type="spellStart"/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кВ</w:t>
      </w:r>
      <w:proofErr w:type="spellEnd"/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протяженностью 1300 метров, 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ремонт столбового фундамента </w:t>
      </w:r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ТП 24-07 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(износ 50%) и расчистка просеки </w:t>
      </w:r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ВЛЭП 10 </w:t>
      </w:r>
      <w:proofErr w:type="spellStart"/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кВ</w:t>
      </w:r>
      <w:proofErr w:type="spellEnd"/>
      <w:r w:rsidR="0028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14 000 м2 протяженностью </w:t>
      </w:r>
      <w:r w:rsidR="00667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 км</w:t>
      </w:r>
      <w:r w:rsidR="006B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14:paraId="7365EB29" w14:textId="230791D8" w:rsidR="00C56F42" w:rsidRDefault="00647E70" w:rsidP="00647E70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Ремонт возникает по причине многолетнего срока эксплуатации ВЛЭП 0,4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питающая абонентов СНТСН «Кооператор», которая изношена на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90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%.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Провода </w:t>
      </w:r>
      <w:r w:rsidR="00EC64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АС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>линии подвергнут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большим окислениям в многочисленных местах.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>ребуется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замена опор 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предотвращения аварийных ситуаций, так как они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уже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укреплены подкосами и приставками.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Большое количество опор с уклонами превышающие безопасные параметры. 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Столбовой фундамент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ТП 24-07 </w:t>
      </w:r>
      <w:r w:rsidR="006B57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имеет уклон, в результате чего ось ТП -24-7 имеет отклонение от нормальной оси, что может сказаться на работе масляного трансформатора.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Несколько лет не чистилась просека, очень плотные заросли, ветки деревьев достают до проводов. </w:t>
      </w:r>
      <w:r w:rsidR="002809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Необходимо </w:t>
      </w:r>
      <w:r w:rsidR="00000FDA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выполнить ограждение площадью 40 м2 трансформаторной подстанции №24-7.</w:t>
      </w:r>
    </w:p>
    <w:p w14:paraId="4C0164F2" w14:textId="141E75F6" w:rsidR="006C310C" w:rsidRPr="006C310C" w:rsidRDefault="0079756F" w:rsidP="00286BD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9756F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       </w:t>
      </w:r>
      <w:r w:rsidR="00E6402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6C310C" w:rsidRPr="006C310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Установка приборов учета в соответствии с Федеральным законом от 27.12.2018 № 522 при истечении МПИ, при отсутствии прибора учета и выходе прибора учета из строя у потребителя, класс напряжения 0,23 (0,4) кВт.</w:t>
      </w:r>
    </w:p>
    <w:p w14:paraId="639FAAB1" w14:textId="1764E4AA" w:rsidR="006F2C9B" w:rsidRDefault="006C310C" w:rsidP="00FC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</w:t>
      </w:r>
      <w:r w:rsidR="006F2C9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</w:t>
      </w:r>
      <w:r w:rsidR="006F2C9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требований ФЗ от 27.12.2018 №522</w:t>
      </w:r>
      <w:r w:rsidRPr="006C310C">
        <w:rPr>
          <w:sz w:val="27"/>
          <w:szCs w:val="27"/>
        </w:rPr>
        <w:t xml:space="preserve"> 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результате которых за Обществом возникает обязанность обеспечить потребителей у которых истек срок </w:t>
      </w:r>
      <w:proofErr w:type="spellStart"/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межповерочного</w:t>
      </w:r>
      <w:proofErr w:type="spellEnd"/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интервала новыми приборами учета (далее ПУ) с возможностью подключения их в систему автоматизированного учета электроэнергии</w:t>
      </w:r>
      <w:r w:rsidR="002929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АСКУЭ).</w:t>
      </w:r>
      <w:r w:rsidRPr="006C31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6A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Количество ПУ подлежащие замене указан в таблице: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828"/>
        <w:gridCol w:w="4501"/>
      </w:tblGrid>
      <w:tr w:rsidR="00946ADE" w:rsidRPr="006F2C9B" w14:paraId="595BC718" w14:textId="77777777" w:rsidTr="008E43EE">
        <w:trPr>
          <w:trHeight w:val="453"/>
        </w:trPr>
        <w:tc>
          <w:tcPr>
            <w:tcW w:w="1242" w:type="dxa"/>
          </w:tcPr>
          <w:p w14:paraId="60F8DE94" w14:textId="77777777" w:rsidR="00946ADE" w:rsidRPr="006F2C9B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  <w:p w14:paraId="467FC50F" w14:textId="77777777" w:rsidR="00946ADE" w:rsidRPr="006F2C9B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8" w:type="dxa"/>
          </w:tcPr>
          <w:p w14:paraId="2EB79C81" w14:textId="77777777" w:rsidR="00946ADE" w:rsidRPr="006F2C9B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 годовой объем установок (замен ПУ), шт.</w:t>
            </w:r>
          </w:p>
        </w:tc>
        <w:tc>
          <w:tcPr>
            <w:tcW w:w="4501" w:type="dxa"/>
          </w:tcPr>
          <w:p w14:paraId="54FBC25A" w14:textId="77777777" w:rsidR="00946ADE" w:rsidRPr="006F2C9B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Максимальный </w:t>
            </w:r>
            <w:proofErr w:type="spellStart"/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межпроверочный</w:t>
            </w:r>
            <w:proofErr w:type="spellEnd"/>
            <w:r w:rsidRPr="006F2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интервал, лет</w:t>
            </w:r>
          </w:p>
        </w:tc>
      </w:tr>
      <w:tr w:rsidR="00946ADE" w14:paraId="6849B1B3" w14:textId="77777777" w:rsidTr="008E43EE">
        <w:tc>
          <w:tcPr>
            <w:tcW w:w="1242" w:type="dxa"/>
          </w:tcPr>
          <w:p w14:paraId="30F1B9BD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2025</w:t>
            </w:r>
          </w:p>
        </w:tc>
        <w:tc>
          <w:tcPr>
            <w:tcW w:w="3828" w:type="dxa"/>
          </w:tcPr>
          <w:p w14:paraId="446F4F37" w14:textId="500B8B18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4501" w:type="dxa"/>
            <w:vMerge w:val="restart"/>
          </w:tcPr>
          <w:p w14:paraId="7D3EDCB9" w14:textId="77777777" w:rsidR="00946ADE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3B7904F" w14:textId="77777777" w:rsidR="00946ADE" w:rsidRDefault="00946ADE" w:rsidP="00946A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FA6AD0D" w14:textId="7B966542" w:rsidR="00946ADE" w:rsidRDefault="00946ADE" w:rsidP="00946A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лет</w:t>
            </w:r>
          </w:p>
        </w:tc>
      </w:tr>
      <w:tr w:rsidR="00946ADE" w14:paraId="1526033E" w14:textId="77777777" w:rsidTr="008E43EE">
        <w:tc>
          <w:tcPr>
            <w:tcW w:w="1242" w:type="dxa"/>
          </w:tcPr>
          <w:p w14:paraId="6E33021B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2026</w:t>
            </w:r>
          </w:p>
        </w:tc>
        <w:tc>
          <w:tcPr>
            <w:tcW w:w="3828" w:type="dxa"/>
          </w:tcPr>
          <w:p w14:paraId="35E4BD18" w14:textId="64A91E13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</w:t>
            </w:r>
          </w:p>
        </w:tc>
        <w:tc>
          <w:tcPr>
            <w:tcW w:w="4501" w:type="dxa"/>
            <w:vMerge/>
          </w:tcPr>
          <w:p w14:paraId="23372227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5CF67C28" w14:textId="77777777" w:rsidTr="008E43EE">
        <w:tc>
          <w:tcPr>
            <w:tcW w:w="1242" w:type="dxa"/>
          </w:tcPr>
          <w:p w14:paraId="6E572987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2027</w:t>
            </w:r>
          </w:p>
        </w:tc>
        <w:tc>
          <w:tcPr>
            <w:tcW w:w="3828" w:type="dxa"/>
          </w:tcPr>
          <w:p w14:paraId="20E10F3D" w14:textId="46F3AC39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501" w:type="dxa"/>
            <w:vMerge/>
          </w:tcPr>
          <w:p w14:paraId="75125FEA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0187B054" w14:textId="77777777" w:rsidTr="008E43EE">
        <w:tc>
          <w:tcPr>
            <w:tcW w:w="1242" w:type="dxa"/>
          </w:tcPr>
          <w:p w14:paraId="5CF9AECF" w14:textId="5332A19B" w:rsidR="00946ADE" w:rsidRDefault="00946ADE" w:rsidP="00946A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2028</w:t>
            </w:r>
          </w:p>
        </w:tc>
        <w:tc>
          <w:tcPr>
            <w:tcW w:w="3828" w:type="dxa"/>
          </w:tcPr>
          <w:p w14:paraId="71B427EB" w14:textId="11C32FC2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4501" w:type="dxa"/>
            <w:vMerge/>
          </w:tcPr>
          <w:p w14:paraId="276C51B7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6D883EB7" w14:textId="77777777" w:rsidTr="008E43EE">
        <w:tc>
          <w:tcPr>
            <w:tcW w:w="1242" w:type="dxa"/>
          </w:tcPr>
          <w:p w14:paraId="59C4F81B" w14:textId="64120A3A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2029</w:t>
            </w:r>
          </w:p>
        </w:tc>
        <w:tc>
          <w:tcPr>
            <w:tcW w:w="3828" w:type="dxa"/>
          </w:tcPr>
          <w:p w14:paraId="746F14A6" w14:textId="0D22E113" w:rsidR="00946ADE" w:rsidRPr="00E96670" w:rsidRDefault="00E96670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501" w:type="dxa"/>
            <w:vMerge/>
          </w:tcPr>
          <w:p w14:paraId="64781346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46ADE" w14:paraId="23F55B7C" w14:textId="77777777" w:rsidTr="008E43EE">
        <w:tc>
          <w:tcPr>
            <w:tcW w:w="1242" w:type="dxa"/>
          </w:tcPr>
          <w:p w14:paraId="7705F6F3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3828" w:type="dxa"/>
          </w:tcPr>
          <w:p w14:paraId="3ADFC21D" w14:textId="2E5F1C08" w:rsidR="00946ADE" w:rsidRDefault="00946ADE" w:rsidP="008E43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E9667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501" w:type="dxa"/>
          </w:tcPr>
          <w:p w14:paraId="35269380" w14:textId="77777777" w:rsidR="00946ADE" w:rsidRDefault="00946ADE" w:rsidP="008E43E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14A4FD1E" w14:textId="77777777" w:rsidR="00946ADE" w:rsidRDefault="00946ADE" w:rsidP="00FC526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049ECBA" w14:textId="0980CA7D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Преимущества подключения АСКУ:</w:t>
      </w:r>
    </w:p>
    <w:p w14:paraId="6F0B81B2" w14:textId="7777777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отпадает необходимость подавать ежемесячно показания индивидуальных счетчиков;</w:t>
      </w:r>
    </w:p>
    <w:p w14:paraId="277B799C" w14:textId="7777777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исключает ошибки при съеме и передаче показаний:</w:t>
      </w:r>
    </w:p>
    <w:p w14:paraId="46F51789" w14:textId="7777777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исключает нарушение сроков передачи показани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й;</w:t>
      </w:r>
    </w:p>
    <w:p w14:paraId="6BD40829" w14:textId="2CE4C2A7" w:rsidR="00402113" w:rsidRDefault="00402113" w:rsidP="00402113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собственники получают бесплатно в пользование современные и новые приборы учета электроэнергии, у которых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межповерочный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интервал 16 лет.</w:t>
      </w:r>
      <w:r w:rsidR="00E640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</w:p>
    <w:p w14:paraId="0801AAF7" w14:textId="580222AC" w:rsidR="00D34042" w:rsidRDefault="00402113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Коммерческий учет электроэнергии на розничных рынках в целях оказания коммунальных услуг по электроснабжению с 1 июля 2020 года гарантирующие поставщики и сетевые компании</w:t>
      </w:r>
      <w:r w:rsidR="00E640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обеспечивают в обязательном порядке с применением интеллектуальных приборов учета в соответствии с правилами </w:t>
      </w:r>
      <w:r w:rsidR="00E640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4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предоставления услуг собственниками и пользователями помещений в соответствии с правилами организации учета электрической энергии на розничных рынках.</w:t>
      </w:r>
    </w:p>
    <w:p w14:paraId="0FF3079F" w14:textId="359B7DEC" w:rsidR="00E64026" w:rsidRDefault="00D34042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Согласно статье 3 Федерального закона от 26.03.2003г № 35-ФЗ, организация коммерческого учета осуществляется на базе интеллектуально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й системы учета электрической энергии (мощности), предоставляющей собой совокупность 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функционально объединенных компонентов и устройств, предназначенной для удаленного сбора, обработки, передачи показаний приборов учета ( далее ИПУ), обеспечивающих информационный обмен, хранение показаний, удаленное управление ее компонентами, устройствами и приборами учета, а также предоставление информации о результатах измерений, данных о количестве и иных параметрах электрической энергии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правилами предоставления доступа к минимальному набору функций автоматических систем учета электрической энергии (мощности),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024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утвержденными Правительством РФ. </w:t>
      </w:r>
    </w:p>
    <w:p w14:paraId="293A9DBA" w14:textId="588E3D5B" w:rsidR="0050243A" w:rsidRDefault="0050243A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Согласно абзацам  9 и 10 пункта 5 статьи 37 Федерального закона от 26.03.2003 года № 35-ФЗ: «По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 после 1 января 2022 года, гарантирующими поставщика и сетевыми организациями должно быть обеспечено безвозмездное предоставление субъектам электроэнергетики и потребителям электрической энергии (мощности), в отношении</w:t>
      </w:r>
      <w:r w:rsidR="00C761E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которых они</w:t>
      </w:r>
      <w:r w:rsidR="00E425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обеспечивают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установленный правилами предоставления доступа к минимальному набору функций интеллектуальных систем учета электрической энергии (мощности), с использованием интеллектуальных систем </w:t>
      </w:r>
      <w:r w:rsidR="001B04B0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учета электрической энергии (мощности).</w:t>
      </w:r>
    </w:p>
    <w:p w14:paraId="77774603" w14:textId="77777777" w:rsidR="002812CC" w:rsidRDefault="001B04B0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С 1 января 2023 года в случае непредоставления</w:t>
      </w:r>
      <w:r w:rsidR="002812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ненадлежащего предоставления гарантирующим поставщиком и сетевой организацией доступа к минимальному набору функций интеллектуальных систем учета электрической (мощности) субъект электроэнергетики или потребитель электрической энергии (мощности)вправе потребовать уплаты штрафа.</w:t>
      </w:r>
    </w:p>
    <w:p w14:paraId="63D4ABAA" w14:textId="0AE18E28" w:rsidR="001B04B0" w:rsidRDefault="002812CC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Согласно п.62(5) Основ ценообразования, утвержденных постановлением Правительства  РФ от 29.12.2011 № 1178 «О ценообразовании в области  регулируемых цен (тарифов) в электроэнергетике», расходы на создание и развитие  автоматизированных информационно-измерительных систем учета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ресурсов и передачи показаний приборов учета учитываются при установлении сбытовых надбавок гарантирующего поставщика на основании утвержденной в установленном порядке инвестиционной программы гарантирующего поставщика, а также в порядке, установленном методическими указаниями по  расчету сбытовых надбавок гарантирующих поставщиков с использованием метода сравнения аналогов. При этом к инвестиционным проектам, включаемым в инвестиционную программу гарантирующего поставщика, предъявляются требования эффективности, предусмотренные постановлением Правительства РФ от 01.12.2009 № 977 «Об инвестиционных программах субъектов электроэнергетики».</w:t>
      </w:r>
    </w:p>
    <w:p w14:paraId="0A17593E" w14:textId="0F7DCA4D" w:rsidR="00402113" w:rsidRDefault="00402113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Таким образом, механизмом включения затрат на установку и замену приборов учета, которые обязана производить сетевая организация, является принятие инвестиционной программы.  </w:t>
      </w:r>
    </w:p>
    <w:p w14:paraId="0C7EECAA" w14:textId="72F1CA3F" w:rsidR="00402113" w:rsidRDefault="004D694A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7C19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Источником финансирования мероприятий является тарифная выручка.</w:t>
      </w:r>
      <w:r w:rsidR="004021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7C19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="0040211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и структура финансирования Программы подлежат ежеквартальному уточнению в соответствии с учетом фактического выполнения программных мероприятий и ростом уровня цен.</w:t>
      </w:r>
    </w:p>
    <w:p w14:paraId="40E8C78D" w14:textId="7F8944CF" w:rsidR="00896A8D" w:rsidRDefault="00896A8D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Так</w:t>
      </w:r>
      <w:r w:rsidR="003944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реконструкции сетей производится демонтаж ранее установленных приборов учета простого типа, целесообразно при проведении реконструкции осуществить замену простых приборов учета на АСКУЭ, что приведет к снижению трудозатрат на снятие показаний.</w:t>
      </w:r>
    </w:p>
    <w:p w14:paraId="75E80522" w14:textId="21EE07E3" w:rsidR="00AF7A0B" w:rsidRDefault="00AF7A0B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966E6D1" w14:textId="51B392AD" w:rsidR="00AF7A0B" w:rsidRDefault="00AF7A0B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Генеральный директор </w:t>
      </w:r>
    </w:p>
    <w:p w14:paraId="710ECAFD" w14:textId="5C2E74FB" w:rsidR="00AF7A0B" w:rsidRDefault="00AF7A0B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Океан-</w:t>
      </w:r>
      <w:proofErr w:type="gramStart"/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Газ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</w:t>
      </w:r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proofErr w:type="spellStart"/>
      <w:r w:rsidR="0079756F">
        <w:rPr>
          <w:rFonts w:ascii="Times New Roman" w:eastAsia="Times New Roman" w:hAnsi="Times New Roman" w:cs="Times New Roman"/>
          <w:sz w:val="27"/>
          <w:szCs w:val="27"/>
          <w:lang w:eastAsia="ru-RU"/>
        </w:rPr>
        <w:t>А.В.Сковпень</w:t>
      </w:r>
      <w:proofErr w:type="spellEnd"/>
    </w:p>
    <w:p w14:paraId="39F5BAF0" w14:textId="77777777" w:rsidR="00402113" w:rsidRDefault="00402113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C836C4E" w14:textId="77777777" w:rsidR="00E64026" w:rsidRDefault="00E64026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3041971" w14:textId="77777777" w:rsidR="00E64026" w:rsidRDefault="00E64026" w:rsidP="002929A1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E9E1DE0" w14:textId="42ED1063" w:rsidR="00B3404F" w:rsidRDefault="00B3404F" w:rsidP="00FA1E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9A831A" w14:textId="11A44DD2" w:rsidR="00B3404F" w:rsidRDefault="00B3404F" w:rsidP="00FA1E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A2ECE" w14:textId="77777777" w:rsidR="00B3404F" w:rsidRDefault="00B3404F" w:rsidP="00FA1EE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5DFD7B" w14:textId="5FD23EEF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1FC53C5B" w14:textId="77777777" w:rsidR="000740CA" w:rsidRDefault="000740CA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740CA" w:rsidSect="005422C0">
      <w:footerReference w:type="default" r:id="rId10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AB63A" w14:textId="77777777" w:rsidR="00A21E1A" w:rsidRDefault="00A21E1A" w:rsidP="002624DF">
      <w:pPr>
        <w:spacing w:after="0" w:line="240" w:lineRule="auto"/>
      </w:pPr>
      <w:r>
        <w:separator/>
      </w:r>
    </w:p>
  </w:endnote>
  <w:endnote w:type="continuationSeparator" w:id="0">
    <w:p w14:paraId="6B777584" w14:textId="77777777" w:rsidR="00A21E1A" w:rsidRDefault="00A21E1A" w:rsidP="00262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2929433"/>
      <w:docPartObj>
        <w:docPartGallery w:val="Page Numbers (Bottom of Page)"/>
        <w:docPartUnique/>
      </w:docPartObj>
    </w:sdtPr>
    <w:sdtEndPr/>
    <w:sdtContent>
      <w:p w14:paraId="4C1382BE" w14:textId="3B20B209" w:rsidR="003E411B" w:rsidRDefault="003E411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D96151" w14:textId="77777777" w:rsidR="003E411B" w:rsidRDefault="003E41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8394C" w14:textId="77777777" w:rsidR="00A21E1A" w:rsidRDefault="00A21E1A" w:rsidP="002624DF">
      <w:pPr>
        <w:spacing w:after="0" w:line="240" w:lineRule="auto"/>
      </w:pPr>
      <w:r>
        <w:separator/>
      </w:r>
    </w:p>
  </w:footnote>
  <w:footnote w:type="continuationSeparator" w:id="0">
    <w:p w14:paraId="721AABB2" w14:textId="77777777" w:rsidR="00A21E1A" w:rsidRDefault="00A21E1A" w:rsidP="00262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85F56"/>
    <w:multiLevelType w:val="hybridMultilevel"/>
    <w:tmpl w:val="83945F08"/>
    <w:lvl w:ilvl="0" w:tplc="D39A37C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DD2E05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442"/>
    <w:multiLevelType w:val="hybridMultilevel"/>
    <w:tmpl w:val="29644B2C"/>
    <w:lvl w:ilvl="0" w:tplc="F484F7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E45D0F"/>
    <w:multiLevelType w:val="hybridMultilevel"/>
    <w:tmpl w:val="FE54768C"/>
    <w:lvl w:ilvl="0" w:tplc="3E9AF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37D6F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941E1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B39ED"/>
    <w:multiLevelType w:val="hybridMultilevel"/>
    <w:tmpl w:val="934E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85E0C"/>
    <w:multiLevelType w:val="hybridMultilevel"/>
    <w:tmpl w:val="183E55F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E1"/>
    <w:rsid w:val="00000FDA"/>
    <w:rsid w:val="00003CC8"/>
    <w:rsid w:val="00011013"/>
    <w:rsid w:val="00016708"/>
    <w:rsid w:val="000239CC"/>
    <w:rsid w:val="000251AA"/>
    <w:rsid w:val="000265EE"/>
    <w:rsid w:val="00026867"/>
    <w:rsid w:val="00070971"/>
    <w:rsid w:val="000740CA"/>
    <w:rsid w:val="00087632"/>
    <w:rsid w:val="0009090C"/>
    <w:rsid w:val="000B4A93"/>
    <w:rsid w:val="000C2891"/>
    <w:rsid w:val="000F472F"/>
    <w:rsid w:val="00121D75"/>
    <w:rsid w:val="0012488F"/>
    <w:rsid w:val="001260F5"/>
    <w:rsid w:val="00165D45"/>
    <w:rsid w:val="00166F7F"/>
    <w:rsid w:val="001A4E24"/>
    <w:rsid w:val="001A56C0"/>
    <w:rsid w:val="001B04B0"/>
    <w:rsid w:val="001C3E58"/>
    <w:rsid w:val="001C3F24"/>
    <w:rsid w:val="001C592C"/>
    <w:rsid w:val="001D4E38"/>
    <w:rsid w:val="001F0448"/>
    <w:rsid w:val="001F1AC8"/>
    <w:rsid w:val="00206E1B"/>
    <w:rsid w:val="00222F68"/>
    <w:rsid w:val="002234F1"/>
    <w:rsid w:val="00236B78"/>
    <w:rsid w:val="00240F49"/>
    <w:rsid w:val="00251081"/>
    <w:rsid w:val="00256F05"/>
    <w:rsid w:val="002624DF"/>
    <w:rsid w:val="002752BB"/>
    <w:rsid w:val="00280932"/>
    <w:rsid w:val="002812CC"/>
    <w:rsid w:val="00285118"/>
    <w:rsid w:val="0028676B"/>
    <w:rsid w:val="00286BDA"/>
    <w:rsid w:val="002929A1"/>
    <w:rsid w:val="002A00D9"/>
    <w:rsid w:val="002A3026"/>
    <w:rsid w:val="002A431C"/>
    <w:rsid w:val="002A7136"/>
    <w:rsid w:val="002D297D"/>
    <w:rsid w:val="002D45FB"/>
    <w:rsid w:val="002D598C"/>
    <w:rsid w:val="0030095A"/>
    <w:rsid w:val="00314A4A"/>
    <w:rsid w:val="00315052"/>
    <w:rsid w:val="00321745"/>
    <w:rsid w:val="00324BB1"/>
    <w:rsid w:val="003266BF"/>
    <w:rsid w:val="0035539C"/>
    <w:rsid w:val="00357E15"/>
    <w:rsid w:val="003670FE"/>
    <w:rsid w:val="00381CC3"/>
    <w:rsid w:val="00394428"/>
    <w:rsid w:val="003B5A2C"/>
    <w:rsid w:val="003B606D"/>
    <w:rsid w:val="003C23C8"/>
    <w:rsid w:val="003E411B"/>
    <w:rsid w:val="003F0DF4"/>
    <w:rsid w:val="003F71CB"/>
    <w:rsid w:val="00402113"/>
    <w:rsid w:val="00405662"/>
    <w:rsid w:val="0041147E"/>
    <w:rsid w:val="004122AF"/>
    <w:rsid w:val="00431427"/>
    <w:rsid w:val="0044478F"/>
    <w:rsid w:val="00444E49"/>
    <w:rsid w:val="004511AB"/>
    <w:rsid w:val="004513C4"/>
    <w:rsid w:val="00452F63"/>
    <w:rsid w:val="00465632"/>
    <w:rsid w:val="004743F1"/>
    <w:rsid w:val="004856B5"/>
    <w:rsid w:val="004958E2"/>
    <w:rsid w:val="004A0C49"/>
    <w:rsid w:val="004B11D1"/>
    <w:rsid w:val="004B1522"/>
    <w:rsid w:val="004D6189"/>
    <w:rsid w:val="004D694A"/>
    <w:rsid w:val="004E0E98"/>
    <w:rsid w:val="004F7D4C"/>
    <w:rsid w:val="005018E0"/>
    <w:rsid w:val="0050243A"/>
    <w:rsid w:val="00504D2A"/>
    <w:rsid w:val="00517F06"/>
    <w:rsid w:val="00530AFA"/>
    <w:rsid w:val="005422C0"/>
    <w:rsid w:val="005755D7"/>
    <w:rsid w:val="00586F94"/>
    <w:rsid w:val="005944C7"/>
    <w:rsid w:val="00594B14"/>
    <w:rsid w:val="005A3B19"/>
    <w:rsid w:val="005D6830"/>
    <w:rsid w:val="005E0D20"/>
    <w:rsid w:val="005E7967"/>
    <w:rsid w:val="005F1AA9"/>
    <w:rsid w:val="005F4D9A"/>
    <w:rsid w:val="005F7DFA"/>
    <w:rsid w:val="00606ED5"/>
    <w:rsid w:val="00622960"/>
    <w:rsid w:val="006255B8"/>
    <w:rsid w:val="006404F7"/>
    <w:rsid w:val="00647E70"/>
    <w:rsid w:val="00667EC1"/>
    <w:rsid w:val="006765D1"/>
    <w:rsid w:val="00694F18"/>
    <w:rsid w:val="006A4D31"/>
    <w:rsid w:val="006B574A"/>
    <w:rsid w:val="006C2219"/>
    <w:rsid w:val="006C310C"/>
    <w:rsid w:val="006C6CAC"/>
    <w:rsid w:val="006D5D75"/>
    <w:rsid w:val="006D626D"/>
    <w:rsid w:val="006F2C9B"/>
    <w:rsid w:val="006F4EBC"/>
    <w:rsid w:val="00701F02"/>
    <w:rsid w:val="0070358D"/>
    <w:rsid w:val="00704289"/>
    <w:rsid w:val="00717349"/>
    <w:rsid w:val="007367A8"/>
    <w:rsid w:val="00741005"/>
    <w:rsid w:val="00743BD5"/>
    <w:rsid w:val="007547C0"/>
    <w:rsid w:val="0076356B"/>
    <w:rsid w:val="00764796"/>
    <w:rsid w:val="007668C6"/>
    <w:rsid w:val="00792D61"/>
    <w:rsid w:val="0079756F"/>
    <w:rsid w:val="0079757D"/>
    <w:rsid w:val="007A6D17"/>
    <w:rsid w:val="007C19A3"/>
    <w:rsid w:val="007D63FA"/>
    <w:rsid w:val="007E6D24"/>
    <w:rsid w:val="007F253C"/>
    <w:rsid w:val="007F50AD"/>
    <w:rsid w:val="00811648"/>
    <w:rsid w:val="00811918"/>
    <w:rsid w:val="00812B0C"/>
    <w:rsid w:val="00817E67"/>
    <w:rsid w:val="008207A9"/>
    <w:rsid w:val="008316A3"/>
    <w:rsid w:val="008334A0"/>
    <w:rsid w:val="00843C6D"/>
    <w:rsid w:val="00846618"/>
    <w:rsid w:val="008859CF"/>
    <w:rsid w:val="00886B58"/>
    <w:rsid w:val="00886ED7"/>
    <w:rsid w:val="00887106"/>
    <w:rsid w:val="0089086B"/>
    <w:rsid w:val="00896A8D"/>
    <w:rsid w:val="008C4BAE"/>
    <w:rsid w:val="008C6D26"/>
    <w:rsid w:val="008D3086"/>
    <w:rsid w:val="008D3264"/>
    <w:rsid w:val="008D6984"/>
    <w:rsid w:val="008D75F2"/>
    <w:rsid w:val="009020FF"/>
    <w:rsid w:val="009024F7"/>
    <w:rsid w:val="009068A9"/>
    <w:rsid w:val="0091067A"/>
    <w:rsid w:val="009120F0"/>
    <w:rsid w:val="009143C9"/>
    <w:rsid w:val="009353D6"/>
    <w:rsid w:val="00944650"/>
    <w:rsid w:val="00946ADE"/>
    <w:rsid w:val="00954524"/>
    <w:rsid w:val="00963883"/>
    <w:rsid w:val="00967CD5"/>
    <w:rsid w:val="00983E54"/>
    <w:rsid w:val="009A2ECC"/>
    <w:rsid w:val="009B1752"/>
    <w:rsid w:val="009B253F"/>
    <w:rsid w:val="009B5A6C"/>
    <w:rsid w:val="009C59A0"/>
    <w:rsid w:val="009F1090"/>
    <w:rsid w:val="009F4774"/>
    <w:rsid w:val="009F564E"/>
    <w:rsid w:val="00A02FAA"/>
    <w:rsid w:val="00A138DF"/>
    <w:rsid w:val="00A14BEC"/>
    <w:rsid w:val="00A21E1A"/>
    <w:rsid w:val="00A21F2C"/>
    <w:rsid w:val="00A27263"/>
    <w:rsid w:val="00A317B7"/>
    <w:rsid w:val="00A37FCD"/>
    <w:rsid w:val="00A411BF"/>
    <w:rsid w:val="00A44262"/>
    <w:rsid w:val="00A44C12"/>
    <w:rsid w:val="00A46AA4"/>
    <w:rsid w:val="00A66508"/>
    <w:rsid w:val="00AA259C"/>
    <w:rsid w:val="00AD38CA"/>
    <w:rsid w:val="00AE5110"/>
    <w:rsid w:val="00AF7A0B"/>
    <w:rsid w:val="00B04B0C"/>
    <w:rsid w:val="00B10492"/>
    <w:rsid w:val="00B30A07"/>
    <w:rsid w:val="00B33F17"/>
    <w:rsid w:val="00B3404F"/>
    <w:rsid w:val="00B51862"/>
    <w:rsid w:val="00B5498F"/>
    <w:rsid w:val="00B96E3D"/>
    <w:rsid w:val="00BB02E1"/>
    <w:rsid w:val="00BB1526"/>
    <w:rsid w:val="00BE6361"/>
    <w:rsid w:val="00BF3A5B"/>
    <w:rsid w:val="00C20549"/>
    <w:rsid w:val="00C41DAB"/>
    <w:rsid w:val="00C41DED"/>
    <w:rsid w:val="00C50EE3"/>
    <w:rsid w:val="00C55B98"/>
    <w:rsid w:val="00C56F42"/>
    <w:rsid w:val="00C73C74"/>
    <w:rsid w:val="00C761E4"/>
    <w:rsid w:val="00C83401"/>
    <w:rsid w:val="00C871D2"/>
    <w:rsid w:val="00C9713F"/>
    <w:rsid w:val="00CA0F5C"/>
    <w:rsid w:val="00CB1416"/>
    <w:rsid w:val="00CB4E8D"/>
    <w:rsid w:val="00CB6986"/>
    <w:rsid w:val="00CD7C99"/>
    <w:rsid w:val="00D052E1"/>
    <w:rsid w:val="00D178F2"/>
    <w:rsid w:val="00D24DCF"/>
    <w:rsid w:val="00D33E60"/>
    <w:rsid w:val="00D34042"/>
    <w:rsid w:val="00D36760"/>
    <w:rsid w:val="00D40054"/>
    <w:rsid w:val="00D56373"/>
    <w:rsid w:val="00D61C7F"/>
    <w:rsid w:val="00D62FCC"/>
    <w:rsid w:val="00D70EF8"/>
    <w:rsid w:val="00D742CD"/>
    <w:rsid w:val="00D8781A"/>
    <w:rsid w:val="00DA4BDE"/>
    <w:rsid w:val="00DC01A1"/>
    <w:rsid w:val="00DC271E"/>
    <w:rsid w:val="00DE73A8"/>
    <w:rsid w:val="00DE77EA"/>
    <w:rsid w:val="00E1492D"/>
    <w:rsid w:val="00E16B21"/>
    <w:rsid w:val="00E3585A"/>
    <w:rsid w:val="00E425CC"/>
    <w:rsid w:val="00E4521F"/>
    <w:rsid w:val="00E469F8"/>
    <w:rsid w:val="00E47503"/>
    <w:rsid w:val="00E64026"/>
    <w:rsid w:val="00E7005C"/>
    <w:rsid w:val="00E87154"/>
    <w:rsid w:val="00E878C6"/>
    <w:rsid w:val="00E900FA"/>
    <w:rsid w:val="00E916F0"/>
    <w:rsid w:val="00E92207"/>
    <w:rsid w:val="00E96670"/>
    <w:rsid w:val="00EC64E3"/>
    <w:rsid w:val="00EC6CC2"/>
    <w:rsid w:val="00ED4C48"/>
    <w:rsid w:val="00ED7614"/>
    <w:rsid w:val="00F02947"/>
    <w:rsid w:val="00F326DC"/>
    <w:rsid w:val="00F3796E"/>
    <w:rsid w:val="00F52FA9"/>
    <w:rsid w:val="00F77916"/>
    <w:rsid w:val="00F814FD"/>
    <w:rsid w:val="00F86A1B"/>
    <w:rsid w:val="00FA1AA0"/>
    <w:rsid w:val="00FA1EE6"/>
    <w:rsid w:val="00FA5553"/>
    <w:rsid w:val="00FB051C"/>
    <w:rsid w:val="00FC5260"/>
    <w:rsid w:val="00FC6665"/>
    <w:rsid w:val="00FD18C6"/>
    <w:rsid w:val="00FE0496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2F59"/>
  <w15:docId w15:val="{9E7BA602-1E49-49B5-94E4-2D469089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1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4F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24DF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624D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62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24DF"/>
  </w:style>
  <w:style w:type="paragraph" w:styleId="a8">
    <w:name w:val="footer"/>
    <w:basedOn w:val="a"/>
    <w:link w:val="a9"/>
    <w:uiPriority w:val="99"/>
    <w:unhideWhenUsed/>
    <w:rsid w:val="00262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24DF"/>
  </w:style>
  <w:style w:type="table" w:styleId="aa">
    <w:name w:val="Table Grid"/>
    <w:basedOn w:val="a1"/>
    <w:uiPriority w:val="59"/>
    <w:unhideWhenUsed/>
    <w:rsid w:val="006F2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2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3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3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3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4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8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87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963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304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113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348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9715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33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0187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779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6782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7854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178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05517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20311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753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2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0558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32454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87399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85009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73678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64130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88291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643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6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10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osregtoday.ru/zhkh/dve-s-polovinoj-sotni-kilometrov-lep-otremontirovalo-mosoblenergo-v-2019-go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22597-FDBF-4468-BD41-700AEE96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48569</TotalTime>
  <Pages>14</Pages>
  <Words>3163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 Анатольевич Попов</dc:creator>
  <cp:keywords/>
  <dc:description/>
  <cp:lastModifiedBy>МК-Транс123</cp:lastModifiedBy>
  <cp:revision>135</cp:revision>
  <cp:lastPrinted>2023-02-26T21:12:00Z</cp:lastPrinted>
  <dcterms:created xsi:type="dcterms:W3CDTF">2014-02-27T05:25:00Z</dcterms:created>
  <dcterms:modified xsi:type="dcterms:W3CDTF">2024-04-18T21:44:00Z</dcterms:modified>
</cp:coreProperties>
</file>