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09" w:val="left"/>
        </w:tabs>
        <w:ind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2000000">
      <w:pPr>
        <w:tabs>
          <w:tab w:leader="none" w:pos="709" w:val="left"/>
        </w:tabs>
        <w:ind/>
        <w:jc w:val="center"/>
        <w:rPr>
          <w:sz w:val="28"/>
        </w:rPr>
      </w:pPr>
      <w:r>
        <w:rPr>
          <w:sz w:val="28"/>
        </w:rPr>
        <w:t>о проведении открытого конкурса</w:t>
      </w:r>
      <w:r>
        <w:rPr>
          <w:sz w:val="28"/>
        </w:rPr>
        <w:t xml:space="preserve"> </w:t>
      </w:r>
      <w:r>
        <w:rPr>
          <w:sz w:val="28"/>
        </w:rPr>
        <w:t xml:space="preserve">по отбору аудиторской организации </w:t>
      </w:r>
      <w:r>
        <w:rPr>
          <w:sz w:val="28"/>
        </w:rPr>
        <w:t>(аудит</w:t>
      </w:r>
      <w:r>
        <w:rPr>
          <w:sz w:val="28"/>
        </w:rPr>
        <w:t>о</w:t>
      </w:r>
      <w:r>
        <w:rPr>
          <w:sz w:val="28"/>
        </w:rPr>
        <w:t xml:space="preserve">ра) </w:t>
      </w:r>
      <w:r>
        <w:rPr>
          <w:sz w:val="28"/>
        </w:rPr>
        <w:t xml:space="preserve">для </w:t>
      </w:r>
      <w:r>
        <w:rPr>
          <w:sz w:val="28"/>
        </w:rPr>
        <w:t>оказа</w:t>
      </w:r>
      <w:r>
        <w:rPr>
          <w:sz w:val="28"/>
        </w:rPr>
        <w:t>ния</w:t>
      </w:r>
      <w:r>
        <w:rPr>
          <w:sz w:val="28"/>
        </w:rPr>
        <w:t xml:space="preserve"> </w:t>
      </w:r>
      <w:r>
        <w:rPr>
          <w:sz w:val="28"/>
        </w:rPr>
        <w:t xml:space="preserve">услуг </w:t>
      </w:r>
      <w:r>
        <w:rPr>
          <w:sz w:val="28"/>
        </w:rPr>
        <w:t>по проведению аудита</w:t>
      </w:r>
      <w:r>
        <w:rPr>
          <w:sz w:val="28"/>
        </w:rPr>
        <w:t xml:space="preserve"> годовой бухгалтерской (финанс</w:t>
      </w:r>
      <w:r>
        <w:rPr>
          <w:sz w:val="28"/>
        </w:rPr>
        <w:t>о</w:t>
      </w:r>
      <w:r>
        <w:rPr>
          <w:sz w:val="28"/>
        </w:rPr>
        <w:t xml:space="preserve">вой) отчетности </w:t>
      </w:r>
      <w:r>
        <w:rPr>
          <w:sz w:val="28"/>
        </w:rPr>
        <w:t>Фонд</w:t>
      </w:r>
      <w:r>
        <w:rPr>
          <w:sz w:val="28"/>
        </w:rPr>
        <w:t>а</w:t>
      </w:r>
      <w:r>
        <w:rPr>
          <w:sz w:val="28"/>
        </w:rPr>
        <w:t xml:space="preserve"> капитального ремонта многоквартирных домов </w:t>
      </w:r>
      <w:r>
        <w:rPr>
          <w:sz w:val="28"/>
        </w:rPr>
        <w:t>Камча</w:t>
      </w:r>
      <w:r>
        <w:rPr>
          <w:sz w:val="28"/>
        </w:rPr>
        <w:t>т</w:t>
      </w:r>
      <w:r>
        <w:rPr>
          <w:sz w:val="28"/>
        </w:rPr>
        <w:t>ского края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2023</w:t>
      </w:r>
      <w:r>
        <w:rPr>
          <w:sz w:val="28"/>
        </w:rPr>
        <w:t xml:space="preserve"> год</w:t>
      </w:r>
    </w:p>
    <w:p w14:paraId="03000000">
      <w:pPr>
        <w:tabs>
          <w:tab w:leader="none" w:pos="709" w:val="left"/>
        </w:tabs>
        <w:ind/>
        <w:jc w:val="center"/>
        <w:rPr>
          <w:sz w:val="28"/>
        </w:rPr>
      </w:pPr>
    </w:p>
    <w:p w14:paraId="04000000">
      <w:pPr>
        <w:spacing w:afterAutospacing="on" w:beforeAutospacing="on"/>
        <w:ind/>
        <w:outlineLvl w:val="2"/>
        <w:rPr>
          <w:b w:val="1"/>
          <w:sz w:val="28"/>
        </w:rPr>
      </w:pPr>
      <w:r>
        <w:rPr>
          <w:sz w:val="28"/>
        </w:rPr>
        <w:t>Организатор:</w:t>
      </w:r>
      <w:r>
        <w:rPr>
          <w:sz w:val="28"/>
        </w:rPr>
        <w:t xml:space="preserve"> Министерство жилищно-коммунального хозяйства и энергетики Камчатского края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402"/>
        <w:gridCol w:w="142"/>
        <w:gridCol w:w="6093"/>
      </w:tblGrid>
      <w:tr>
        <w:tc>
          <w:tcPr>
            <w:tcW w:type="dxa" w:w="3544"/>
            <w:gridSpan w:val="2"/>
            <w:tcMar>
              <w:left w:type="dxa" w:w="0"/>
              <w:right w:type="dxa" w:w="0"/>
            </w:tcMar>
            <w:vAlign w:val="center"/>
          </w:tcPr>
          <w:p w14:paraId="05000000">
            <w:pPr>
              <w:rPr>
                <w:sz w:val="28"/>
              </w:rPr>
            </w:pPr>
            <w:r>
              <w:rPr>
                <w:sz w:val="28"/>
              </w:rPr>
              <w:t xml:space="preserve">Почтовый адрес: </w:t>
            </w:r>
          </w:p>
        </w:tc>
        <w:tc>
          <w:tcPr>
            <w:tcW w:type="dxa" w:w="6093"/>
            <w:tcMar>
              <w:left w:type="dxa" w:w="0"/>
              <w:right w:type="dxa" w:w="0"/>
            </w:tcMar>
            <w:vAlign w:val="center"/>
          </w:tcPr>
          <w:p w14:paraId="06000000">
            <w:pPr>
              <w:rPr>
                <w:sz w:val="28"/>
              </w:rPr>
            </w:pPr>
          </w:p>
          <w:p w14:paraId="07000000">
            <w:pPr>
              <w:rPr>
                <w:sz w:val="28"/>
              </w:rPr>
            </w:pPr>
            <w:r>
              <w:rPr>
                <w:sz w:val="28"/>
              </w:rPr>
              <w:t>6830</w:t>
            </w:r>
            <w:r>
              <w:rPr>
                <w:sz w:val="28"/>
              </w:rPr>
              <w:t>31</w:t>
            </w:r>
            <w:r>
              <w:rPr>
                <w:sz w:val="28"/>
              </w:rPr>
              <w:t xml:space="preserve">, Камчатский край, </w:t>
            </w:r>
            <w:r>
              <w:rPr>
                <w:sz w:val="28"/>
              </w:rPr>
              <w:t xml:space="preserve">г. </w:t>
            </w:r>
            <w:r>
              <w:rPr>
                <w:sz w:val="28"/>
              </w:rPr>
              <w:t>Петропавл</w:t>
            </w:r>
            <w:r>
              <w:rPr>
                <w:sz w:val="28"/>
              </w:rPr>
              <w:t>овск-Камчатский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пр. Карла Маркса, д. 5</w:t>
            </w:r>
          </w:p>
        </w:tc>
      </w:tr>
      <w:tr>
        <w:tc>
          <w:tcPr>
            <w:tcW w:type="dxa" w:w="3544"/>
            <w:gridSpan w:val="2"/>
            <w:tcMar>
              <w:left w:type="dxa" w:w="0"/>
              <w:right w:type="dxa" w:w="0"/>
            </w:tcMar>
            <w:vAlign w:val="center"/>
          </w:tcPr>
          <w:p w14:paraId="08000000">
            <w:pPr>
              <w:rPr>
                <w:sz w:val="28"/>
              </w:rPr>
            </w:pPr>
            <w:r>
              <w:rPr>
                <w:sz w:val="28"/>
              </w:rPr>
              <w:t xml:space="preserve">Адрес электронной почты: </w:t>
            </w:r>
          </w:p>
        </w:tc>
        <w:tc>
          <w:tcPr>
            <w:tcW w:type="dxa" w:w="6093"/>
            <w:tcMar>
              <w:left w:type="dxa" w:w="0"/>
              <w:right w:type="dxa" w:w="0"/>
            </w:tcMar>
            <w:vAlign w:val="center"/>
          </w:tcPr>
          <w:p w14:paraId="09000000">
            <w:pPr>
              <w:rPr>
                <w:sz w:val="28"/>
              </w:rPr>
            </w:pPr>
            <w:r>
              <w:rPr>
                <w:sz w:val="28"/>
              </w:rPr>
              <w:t>tek1</w:t>
            </w:r>
            <w:r>
              <w:rPr>
                <w:sz w:val="28"/>
              </w:rPr>
              <w:t xml:space="preserve">@kamgov.ru </w:t>
            </w:r>
          </w:p>
        </w:tc>
      </w:tr>
      <w:tr>
        <w:tc>
          <w:tcPr>
            <w:tcW w:type="dxa" w:w="3544"/>
            <w:gridSpan w:val="2"/>
            <w:tcMar>
              <w:left w:type="dxa" w:w="0"/>
              <w:right w:type="dxa" w:w="0"/>
            </w:tcMar>
            <w:vAlign w:val="center"/>
          </w:tcPr>
          <w:p w14:paraId="0A000000">
            <w:pPr>
              <w:rPr>
                <w:sz w:val="28"/>
              </w:rPr>
            </w:pPr>
            <w:r>
              <w:rPr>
                <w:sz w:val="28"/>
              </w:rPr>
              <w:t xml:space="preserve">Телефон: </w:t>
            </w:r>
          </w:p>
        </w:tc>
        <w:tc>
          <w:tcPr>
            <w:tcW w:type="dxa" w:w="6093"/>
            <w:tcMar>
              <w:left w:type="dxa" w:w="0"/>
              <w:right w:type="dxa" w:w="0"/>
            </w:tcMar>
            <w:vAlign w:val="center"/>
          </w:tcPr>
          <w:p w14:paraId="0B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 xml:space="preserve"> (415</w:t>
            </w:r>
            <w:r>
              <w:rPr>
                <w:sz w:val="28"/>
              </w:rPr>
              <w:t>2)</w:t>
            </w:r>
            <w:r>
              <w:rPr>
                <w:sz w:val="28"/>
              </w:rPr>
              <w:t xml:space="preserve"> 41-24-20</w:t>
            </w:r>
            <w:r>
              <w:rPr>
                <w:sz w:val="28"/>
              </w:rPr>
              <w:t>, 8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t>415</w:t>
            </w:r>
            <w:r>
              <w:rPr>
                <w:sz w:val="28"/>
              </w:rPr>
              <w:t>2)</w:t>
            </w:r>
            <w:r>
              <w:rPr>
                <w:sz w:val="28"/>
              </w:rPr>
              <w:t xml:space="preserve"> 42-09-35</w:t>
            </w:r>
          </w:p>
        </w:tc>
      </w:tr>
      <w:tr>
        <w:trPr>
          <w:trHeight w:hRule="atLeast" w:val="1034"/>
        </w:trPr>
        <w:tc>
          <w:tcPr>
            <w:tcW w:type="dxa" w:w="3544"/>
            <w:gridSpan w:val="2"/>
            <w:tcMar>
              <w:left w:type="dxa" w:w="0"/>
              <w:right w:type="dxa" w:w="0"/>
            </w:tcMar>
            <w:vAlign w:val="center"/>
          </w:tcPr>
          <w:p w14:paraId="0C000000">
            <w:pPr>
              <w:rPr>
                <w:sz w:val="28"/>
              </w:rPr>
            </w:pPr>
            <w:r>
              <w:rPr>
                <w:sz w:val="28"/>
              </w:rPr>
              <w:t xml:space="preserve">Контактное лицо: </w:t>
            </w:r>
          </w:p>
        </w:tc>
        <w:tc>
          <w:tcPr>
            <w:tcW w:type="dxa" w:w="6093"/>
            <w:tcMar>
              <w:left w:type="dxa" w:w="0"/>
              <w:right w:type="dxa" w:w="0"/>
            </w:tcMar>
            <w:vAlign w:val="center"/>
          </w:tcPr>
          <w:p w14:paraId="0D000000">
            <w:pPr>
              <w:rPr>
                <w:sz w:val="28"/>
              </w:rPr>
            </w:pPr>
          </w:p>
          <w:p w14:paraId="0E000000">
            <w:pPr>
              <w:rPr>
                <w:sz w:val="28"/>
              </w:rPr>
            </w:pPr>
            <w:r>
              <w:rPr>
                <w:sz w:val="28"/>
              </w:rPr>
              <w:t>Шишкова Инна Николаевна</w:t>
            </w:r>
            <w:r>
              <w:rPr>
                <w:sz w:val="28"/>
              </w:rPr>
              <w:t>, референт</w:t>
            </w:r>
            <w:r>
              <w:rPr>
                <w:sz w:val="28"/>
              </w:rPr>
              <w:t xml:space="preserve"> отдела правового обеспечения и контроля</w:t>
            </w:r>
            <w:r>
              <w:rPr>
                <w:sz w:val="28"/>
              </w:rPr>
              <w:t xml:space="preserve"> Мин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стерства жилищно-коммунального хозяйства и энергетики Камчатского края</w:t>
            </w:r>
          </w:p>
        </w:tc>
      </w:tr>
      <w:tr>
        <w:tc>
          <w:tcPr>
            <w:tcW w:type="dxa" w:w="3402"/>
            <w:tcMar>
              <w:left w:type="dxa" w:w="0"/>
              <w:right w:type="dxa" w:w="0"/>
            </w:tcMar>
            <w:vAlign w:val="center"/>
          </w:tcPr>
          <w:p w14:paraId="0F000000">
            <w:pPr>
              <w:rPr>
                <w:sz w:val="28"/>
              </w:rPr>
            </w:pPr>
            <w:r>
              <w:rPr>
                <w:sz w:val="28"/>
              </w:rPr>
              <w:t>Предмет конкурса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type="dxa" w:w="6235"/>
            <w:gridSpan w:val="2"/>
            <w:tcMar>
              <w:left w:type="dxa" w:w="0"/>
              <w:right w:type="dxa" w:w="0"/>
            </w:tcMar>
            <w:vAlign w:val="center"/>
          </w:tcPr>
          <w:p w14:paraId="10000000">
            <w:pPr>
              <w:ind w:firstLine="0" w:left="142"/>
              <w:jc w:val="both"/>
              <w:rPr>
                <w:sz w:val="28"/>
              </w:rPr>
            </w:pPr>
          </w:p>
          <w:p w14:paraId="11000000">
            <w:pPr>
              <w:ind w:firstLine="0"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право на </w:t>
            </w:r>
            <w:r>
              <w:rPr>
                <w:sz w:val="28"/>
              </w:rPr>
              <w:t>проведение аудита годовой бухгалте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ской (финансовой) отчетности </w:t>
            </w:r>
            <w:r>
              <w:rPr>
                <w:sz w:val="28"/>
              </w:rPr>
              <w:t>Фонд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капитальн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ремонта многоквартирных</w:t>
            </w:r>
            <w:r>
              <w:rPr>
                <w:sz w:val="28"/>
              </w:rPr>
              <w:t xml:space="preserve"> домов Камчатского края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z w:val="28"/>
              </w:rPr>
              <w:t>2023</w:t>
            </w:r>
            <w:r>
              <w:rPr>
                <w:sz w:val="28"/>
              </w:rPr>
              <w:t xml:space="preserve"> год</w:t>
            </w:r>
          </w:p>
        </w:tc>
      </w:tr>
      <w:tr>
        <w:tc>
          <w:tcPr>
            <w:tcW w:type="dxa" w:w="3402"/>
            <w:tcMar>
              <w:left w:type="dxa" w:w="0"/>
              <w:right w:type="dxa" w:w="0"/>
            </w:tcMar>
            <w:vAlign w:val="center"/>
          </w:tcPr>
          <w:p w14:paraId="12000000">
            <w:pPr>
              <w:rPr>
                <w:sz w:val="28"/>
              </w:rPr>
            </w:pPr>
            <w:r>
              <w:rPr>
                <w:sz w:val="28"/>
              </w:rPr>
              <w:t>Начальн</w:t>
            </w:r>
            <w:r>
              <w:rPr>
                <w:sz w:val="28"/>
              </w:rPr>
              <w:t>ая (максимальная) цена договора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type="dxa" w:w="6235"/>
            <w:gridSpan w:val="2"/>
            <w:tcMar>
              <w:left w:type="dxa" w:w="0"/>
              <w:right w:type="dxa" w:w="0"/>
            </w:tcMar>
            <w:vAlign w:val="center"/>
          </w:tcPr>
          <w:p w14:paraId="13000000">
            <w:r>
              <w:rPr>
                <w:rFonts w:ascii="Times New Roman" w:hAnsi="Times New Roman"/>
                <w:sz w:val="28"/>
              </w:rPr>
              <w:t>243 606,00 руб (двести сорок три тысячи шестьсот шесть рублей 00 коп.)</w:t>
            </w:r>
          </w:p>
        </w:tc>
      </w:tr>
      <w:tr>
        <w:tc>
          <w:tcPr>
            <w:tcW w:type="dxa" w:w="3402"/>
            <w:tcMar>
              <w:left w:type="dxa" w:w="0"/>
              <w:right w:type="dxa" w:w="0"/>
            </w:tcMar>
          </w:tcPr>
          <w:p w14:paraId="14000000">
            <w:pPr>
              <w:rPr>
                <w:sz w:val="28"/>
              </w:rPr>
            </w:pPr>
          </w:p>
        </w:tc>
        <w:tc>
          <w:tcPr>
            <w:tcW w:type="dxa" w:w="6235"/>
            <w:gridSpan w:val="2"/>
            <w:tcMar>
              <w:left w:type="dxa" w:w="0"/>
              <w:right w:type="dxa" w:w="0"/>
            </w:tcMar>
            <w:vAlign w:val="center"/>
          </w:tcPr>
          <w:p w14:paraId="15000000">
            <w:pPr>
              <w:rPr>
                <w:sz w:val="28"/>
              </w:rPr>
            </w:pPr>
          </w:p>
        </w:tc>
      </w:tr>
    </w:tbl>
    <w:p w14:paraId="16000000">
      <w:pPr>
        <w:spacing w:afterAutospacing="on" w:beforeAutospacing="on"/>
        <w:ind/>
        <w:outlineLvl w:val="2"/>
        <w:rPr>
          <w:b w:val="1"/>
          <w:sz w:val="28"/>
        </w:rPr>
      </w:pPr>
      <w:r>
        <w:rPr>
          <w:b w:val="1"/>
          <w:sz w:val="28"/>
        </w:rPr>
        <w:t>Информация о конкурсной документации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686"/>
        <w:gridCol w:w="5951"/>
      </w:tblGrid>
      <w:tr>
        <w:tc>
          <w:tcPr>
            <w:tcW w:type="dxa" w:w="3686"/>
            <w:tcMar>
              <w:left w:type="dxa" w:w="0"/>
              <w:right w:type="dxa" w:w="0"/>
            </w:tcMar>
            <w:vAlign w:val="center"/>
          </w:tcPr>
          <w:p w14:paraId="17000000">
            <w:pPr>
              <w:rPr>
                <w:sz w:val="28"/>
              </w:rPr>
            </w:pPr>
            <w:r>
              <w:rPr>
                <w:sz w:val="28"/>
              </w:rPr>
              <w:t>Срок предоставления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ментации: </w:t>
            </w:r>
          </w:p>
        </w:tc>
        <w:tc>
          <w:tcPr>
            <w:tcW w:type="dxa" w:w="5951"/>
            <w:tcMar>
              <w:left w:type="dxa" w:w="0"/>
              <w:right w:type="dxa" w:w="0"/>
            </w:tcMar>
            <w:vAlign w:val="center"/>
          </w:tcPr>
          <w:p w14:paraId="18000000">
            <w:pPr>
              <w:rPr>
                <w:sz w:val="28"/>
              </w:rPr>
            </w:pPr>
            <w:r>
              <w:rPr>
                <w:sz w:val="28"/>
              </w:rPr>
              <w:t xml:space="preserve">c </w:t>
            </w:r>
            <w:r>
              <w:rPr>
                <w:sz w:val="28"/>
              </w:rPr>
              <w:t>22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по </w:t>
            </w:r>
            <w:r>
              <w:rPr>
                <w:sz w:val="28"/>
              </w:rPr>
              <w:t>04 июня</w:t>
            </w:r>
            <w:r>
              <w:rPr>
                <w:sz w:val="28"/>
              </w:rPr>
              <w:t xml:space="preserve"> 2024</w:t>
            </w:r>
            <w:r>
              <w:rPr>
                <w:sz w:val="28"/>
              </w:rPr>
              <w:t xml:space="preserve"> года включительно</w:t>
            </w:r>
          </w:p>
        </w:tc>
      </w:tr>
      <w:tr>
        <w:tc>
          <w:tcPr>
            <w:tcW w:type="dxa" w:w="3686"/>
            <w:tcMar>
              <w:left w:type="dxa" w:w="0"/>
              <w:right w:type="dxa" w:w="0"/>
            </w:tcMar>
            <w:vAlign w:val="center"/>
          </w:tcPr>
          <w:p w14:paraId="19000000">
            <w:pPr>
              <w:rPr>
                <w:sz w:val="28"/>
              </w:rPr>
            </w:pPr>
          </w:p>
          <w:p w14:paraId="1A000000">
            <w:pPr>
              <w:rPr>
                <w:sz w:val="28"/>
              </w:rPr>
            </w:pPr>
            <w:r>
              <w:rPr>
                <w:sz w:val="28"/>
              </w:rPr>
              <w:t>Место предоставления док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ментации: </w:t>
            </w:r>
          </w:p>
        </w:tc>
        <w:tc>
          <w:tcPr>
            <w:tcW w:type="dxa" w:w="5951"/>
            <w:tcMar>
              <w:left w:type="dxa" w:w="0"/>
              <w:right w:type="dxa" w:w="0"/>
            </w:tcMar>
            <w:vAlign w:val="center"/>
          </w:tcPr>
          <w:p w14:paraId="1B000000">
            <w:pPr>
              <w:rPr>
                <w:sz w:val="28"/>
              </w:rPr>
            </w:pPr>
          </w:p>
          <w:p w14:paraId="1C000000">
            <w:pPr>
              <w:rPr>
                <w:sz w:val="28"/>
              </w:rPr>
            </w:pPr>
            <w:r>
              <w:rPr>
                <w:sz w:val="28"/>
              </w:rPr>
              <w:t>683031, Камчатский край, г. Петропавловск-Камчатский, пр. Карла Маркса, д. 5</w:t>
            </w:r>
            <w:r>
              <w:rPr>
                <w:sz w:val="28"/>
              </w:rPr>
              <w:t xml:space="preserve"> </w:t>
            </w:r>
          </w:p>
        </w:tc>
      </w:tr>
    </w:tbl>
    <w:p w14:paraId="1D000000">
      <w:pPr>
        <w:spacing w:afterAutospacing="on" w:beforeAutospacing="on"/>
        <w:ind/>
        <w:outlineLvl w:val="2"/>
        <w:rPr>
          <w:b w:val="1"/>
          <w:sz w:val="28"/>
        </w:rPr>
      </w:pPr>
      <w:r>
        <w:rPr>
          <w:b w:val="1"/>
          <w:sz w:val="28"/>
        </w:rPr>
        <w:t>Информация о конкурсе</w:t>
      </w: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3537"/>
        <w:gridCol w:w="424"/>
        <w:gridCol w:w="5677"/>
      </w:tblGrid>
      <w:tr>
        <w:tc>
          <w:tcPr>
            <w:tcW w:type="dxa" w:w="3537"/>
            <w:tcMar>
              <w:left w:type="dxa" w:w="0"/>
              <w:right w:type="dxa" w:w="0"/>
            </w:tcMar>
            <w:vAlign w:val="center"/>
          </w:tcPr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z w:val="28"/>
              </w:rPr>
              <w:t>проведения процед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ры </w:t>
            </w:r>
            <w:r>
              <w:rPr>
                <w:sz w:val="28"/>
              </w:rPr>
              <w:t>вскрытия конвертов с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явками на участие в конку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се</w:t>
            </w:r>
            <w:r>
              <w:rPr>
                <w:sz w:val="28"/>
              </w:rPr>
              <w:t>, рассмотрения заявок, принятия решения о допуске (об отказе в допуске)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тендентов на участие в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курсе</w:t>
            </w:r>
            <w:r>
              <w:rPr>
                <w:sz w:val="28"/>
              </w:rPr>
              <w:t xml:space="preserve"> к участию в конкурсе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type="dxa" w:w="424"/>
            <w:tcMar>
              <w:left w:type="dxa" w:w="0"/>
              <w:right w:type="dxa" w:w="0"/>
            </w:tcMar>
          </w:tcPr>
          <w:p w14:paraId="1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677"/>
            <w:tcMar>
              <w:left w:type="dxa" w:w="0"/>
              <w:right w:type="dxa" w:w="0"/>
            </w:tcMar>
            <w:vAlign w:val="center"/>
          </w:tcPr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683031, Камчатский край, г. Петропавловск-Камчатский, пр. Карла Маркса, д. 5</w:t>
            </w:r>
            <w:r>
              <w:rPr>
                <w:sz w:val="28"/>
              </w:rPr>
              <w:t>, каб. 201</w:t>
            </w:r>
          </w:p>
        </w:tc>
      </w:tr>
      <w:tr>
        <w:tc>
          <w:tcPr>
            <w:tcW w:type="dxa" w:w="3537"/>
            <w:tcMar>
              <w:left w:type="dxa" w:w="0"/>
              <w:right w:type="dxa" w:w="0"/>
            </w:tcMar>
            <w:vAlign w:val="center"/>
          </w:tcPr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Дата и время </w:t>
            </w:r>
            <w:r>
              <w:rPr>
                <w:sz w:val="28"/>
              </w:rPr>
              <w:t xml:space="preserve">проведения процедуры </w:t>
            </w:r>
            <w:r>
              <w:rPr>
                <w:sz w:val="28"/>
              </w:rPr>
              <w:t>вскрытия конве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тов с заявками на участие в конкурсе</w:t>
            </w:r>
            <w:r>
              <w:rPr>
                <w:sz w:val="28"/>
              </w:rPr>
              <w:t>, рассмотрения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явок, принятия решения о допуске (об отказе в допу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ке) претендентов на участие в конкурсе</w:t>
            </w:r>
            <w:r>
              <w:rPr>
                <w:sz w:val="28"/>
              </w:rPr>
              <w:t xml:space="preserve"> к участию в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курсе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type="dxa" w:w="424"/>
            <w:tcMar>
              <w:left w:type="dxa" w:w="0"/>
              <w:right w:type="dxa" w:w="0"/>
            </w:tcMar>
          </w:tcPr>
          <w:p w14:paraId="22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677"/>
            <w:tcMar>
              <w:left w:type="dxa" w:w="0"/>
              <w:right w:type="dxa" w:w="0"/>
            </w:tcMar>
            <w:vAlign w:val="center"/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z w:val="28"/>
              </w:rPr>
              <w:t xml:space="preserve"> 2024</w:t>
            </w:r>
            <w:r>
              <w:rPr>
                <w:sz w:val="28"/>
              </w:rPr>
              <w:t xml:space="preserve"> года 11 часов 00 минут</w:t>
            </w:r>
            <w:r>
              <w:rPr>
                <w:sz w:val="28"/>
              </w:rPr>
              <w:t xml:space="preserve"> 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(время местное)</w:t>
            </w:r>
          </w:p>
        </w:tc>
      </w:tr>
      <w:tr>
        <w:tc>
          <w:tcPr>
            <w:tcW w:type="dxa" w:w="3537"/>
            <w:tcMar>
              <w:left w:type="dxa" w:w="0"/>
              <w:right w:type="dxa" w:w="0"/>
            </w:tcMar>
            <w:vAlign w:val="center"/>
          </w:tcPr>
          <w:p w14:paraId="25000000">
            <w:pPr>
              <w:ind/>
              <w:jc w:val="both"/>
              <w:rPr>
                <w:sz w:val="28"/>
              </w:rPr>
            </w:pP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z w:val="28"/>
              </w:rPr>
              <w:t>проведения процед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ры оценки и сопоставления заявок </w:t>
            </w:r>
            <w:r>
              <w:rPr>
                <w:sz w:val="28"/>
              </w:rPr>
              <w:t>на участие в конку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се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определения победителя </w:t>
            </w:r>
            <w:r>
              <w:rPr>
                <w:sz w:val="28"/>
              </w:rPr>
              <w:t>конкурса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type="dxa" w:w="424"/>
            <w:tcMar>
              <w:left w:type="dxa" w:w="0"/>
              <w:right w:type="dxa" w:w="0"/>
            </w:tcMar>
          </w:tcPr>
          <w:p w14:paraId="2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677"/>
            <w:tcMar>
              <w:left w:type="dxa" w:w="0"/>
              <w:right w:type="dxa" w:w="0"/>
            </w:tcMar>
            <w:vAlign w:val="center"/>
          </w:tcPr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683031, Камчатский край, г. Петропавловск-Камчатский, пр. Карла Маркса, д. 5</w:t>
            </w:r>
            <w:r>
              <w:rPr>
                <w:sz w:val="28"/>
              </w:rPr>
              <w:t>, каб. 20</w:t>
            </w:r>
            <w:r>
              <w:rPr>
                <w:sz w:val="28"/>
              </w:rPr>
              <w:t>4</w:t>
            </w:r>
          </w:p>
        </w:tc>
      </w:tr>
      <w:tr>
        <w:tc>
          <w:tcPr>
            <w:tcW w:type="dxa" w:w="3537"/>
            <w:tcMar>
              <w:left w:type="dxa" w:w="0"/>
              <w:right w:type="dxa" w:w="0"/>
            </w:tcMar>
            <w:vAlign w:val="center"/>
          </w:tcPr>
          <w:p w14:paraId="29000000">
            <w:pPr>
              <w:ind/>
              <w:jc w:val="both"/>
              <w:rPr>
                <w:sz w:val="28"/>
              </w:rPr>
            </w:pP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z w:val="28"/>
              </w:rPr>
              <w:t xml:space="preserve"> проведения процедуры оценки и сопоставления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явок </w:t>
            </w:r>
            <w:r>
              <w:rPr>
                <w:sz w:val="28"/>
              </w:rPr>
              <w:t>на участие в конкурсе</w:t>
            </w:r>
            <w:r>
              <w:rPr>
                <w:sz w:val="28"/>
              </w:rPr>
              <w:t>, определения победителя конкурса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type="dxa" w:w="424"/>
            <w:tcMar>
              <w:left w:type="dxa" w:w="0"/>
              <w:right w:type="dxa" w:w="0"/>
            </w:tcMar>
          </w:tcPr>
          <w:p w14:paraId="2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677"/>
            <w:tcMar>
              <w:left w:type="dxa" w:w="0"/>
              <w:right w:type="dxa" w:w="0"/>
            </w:tcMar>
            <w:vAlign w:val="center"/>
          </w:tcPr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05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z w:val="28"/>
              </w:rPr>
              <w:t xml:space="preserve"> 2024</w:t>
            </w:r>
            <w:r>
              <w:rPr>
                <w:sz w:val="28"/>
              </w:rPr>
              <w:t xml:space="preserve"> года 11 часов 30 минут</w:t>
            </w:r>
            <w:r>
              <w:rPr>
                <w:sz w:val="28"/>
              </w:rPr>
              <w:t xml:space="preserve"> 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(время местное)</w:t>
            </w:r>
          </w:p>
        </w:tc>
      </w:tr>
      <w:tr>
        <w:tc>
          <w:tcPr>
            <w:tcW w:type="dxa" w:w="3537"/>
            <w:tcMar>
              <w:left w:type="dxa" w:w="0"/>
              <w:right w:type="dxa" w:w="0"/>
            </w:tcMar>
            <w:vAlign w:val="center"/>
          </w:tcPr>
          <w:p w14:paraId="2E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424"/>
            <w:tcMar>
              <w:left w:type="dxa" w:w="0"/>
              <w:right w:type="dxa" w:w="0"/>
            </w:tcMar>
          </w:tcPr>
          <w:p w14:paraId="2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5677"/>
            <w:tcMar>
              <w:left w:type="dxa" w:w="0"/>
              <w:right w:type="dxa" w:w="0"/>
            </w:tcMar>
            <w:vAlign w:val="center"/>
          </w:tcPr>
          <w:p w14:paraId="30000000">
            <w:pPr>
              <w:ind/>
              <w:jc w:val="both"/>
              <w:rPr>
                <w:sz w:val="28"/>
              </w:rPr>
            </w:pPr>
          </w:p>
        </w:tc>
      </w:tr>
    </w:tbl>
    <w:p w14:paraId="31000000">
      <w:pPr>
        <w:ind w:firstLine="709" w:left="0"/>
        <w:jc w:val="both"/>
        <w:rPr>
          <w:color w:val="000000"/>
          <w:sz w:val="28"/>
        </w:rPr>
      </w:pPr>
    </w:p>
    <w:sectPr>
      <w:pgSz w:h="16838" w:orient="portrait" w:w="11906"/>
      <w:pgMar w:bottom="1134" w:footer="709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2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ConsPlusTitle"/>
    <w:link w:val="Style_7_ch"/>
    <w:rPr>
      <w:b w:val="1"/>
      <w:sz w:val="24"/>
    </w:rPr>
  </w:style>
  <w:style w:styleId="Style_7_ch" w:type="character">
    <w:name w:val="ConsPlusTitle"/>
    <w:link w:val="Style_7"/>
    <w:rPr>
      <w:b w:val="1"/>
      <w:sz w:val="24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llowedHyperlink"/>
    <w:link w:val="Style_9_ch"/>
    <w:rPr>
      <w:color w:val="954F72"/>
      <w:u w:val="single"/>
    </w:rPr>
  </w:style>
  <w:style w:styleId="Style_9_ch" w:type="character">
    <w:name w:val="FollowedHyperlink"/>
    <w:link w:val="Style_9"/>
    <w:rPr>
      <w:color w:val="954F72"/>
      <w:u w:val="single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annotation reference"/>
    <w:link w:val="Style_11_ch"/>
    <w:rPr>
      <w:sz w:val="16"/>
    </w:rPr>
  </w:style>
  <w:style w:styleId="Style_11_ch" w:type="character">
    <w:name w:val="annotation reference"/>
    <w:link w:val="Style_11"/>
    <w:rPr>
      <w:sz w:val="16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83C9"/>
      <w:u w:val="none"/>
    </w:rPr>
  </w:style>
  <w:style w:styleId="Style_14_ch" w:type="character">
    <w:name w:val="Hyperlink"/>
    <w:link w:val="Style_14"/>
    <w:rPr>
      <w:color w:val="0083C9"/>
      <w:u w:val="non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annotation text"/>
    <w:basedOn w:val="Style_2"/>
    <w:link w:val="Style_17_ch"/>
    <w:rPr>
      <w:sz w:val="20"/>
    </w:rPr>
  </w:style>
  <w:style w:styleId="Style_17_ch" w:type="character">
    <w:name w:val="annotation text"/>
    <w:basedOn w:val="Style_2_ch"/>
    <w:link w:val="Style_17"/>
    <w:rPr>
      <w:sz w:val="20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Balloon Text"/>
    <w:basedOn w:val="Style_2"/>
    <w:link w:val="Style_19_ch"/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List Bullet"/>
    <w:basedOn w:val="Style_2"/>
    <w:link w:val="Style_22_ch"/>
    <w:pPr>
      <w:numPr>
        <w:ilvl w:val="0"/>
        <w:numId w:val="1"/>
      </w:numPr>
      <w:ind/>
      <w:contextualSpacing w:val="1"/>
    </w:pPr>
  </w:style>
  <w:style w:styleId="Style_22_ch" w:type="character">
    <w:name w:val="List Bullet"/>
    <w:basedOn w:val="Style_2_ch"/>
    <w:link w:val="Style_22"/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Emphasis"/>
    <w:link w:val="Style_24_ch"/>
    <w:rPr>
      <w:i w:val="1"/>
    </w:rPr>
  </w:style>
  <w:style w:styleId="Style_24_ch" w:type="character">
    <w:name w:val="Emphasis"/>
    <w:link w:val="Style_24"/>
    <w:rPr>
      <w:i w:val="1"/>
    </w:rPr>
  </w:style>
  <w:style w:styleId="Style_25" w:type="paragraph">
    <w:name w:val="annotation subject"/>
    <w:basedOn w:val="Style_17"/>
    <w:next w:val="Style_17"/>
    <w:link w:val="Style_25_ch"/>
    <w:rPr>
      <w:b w:val="1"/>
    </w:rPr>
  </w:style>
  <w:style w:styleId="Style_25_ch" w:type="character">
    <w:name w:val="annotation subject"/>
    <w:basedOn w:val="Style_17_ch"/>
    <w:link w:val="Style_25"/>
    <w:rPr>
      <w:b w:val="1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2024-05-20T23:00:31Z</dcterms:modified>
</cp:coreProperties>
</file>