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6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60" y="0"/>
                <wp:lineTo x="-160" y="20759"/>
                <wp:lineTo x="20808" y="20759"/>
                <wp:lineTo x="20808" y="0"/>
                <wp:lineTo x="-160" y="0"/>
              </wp:wrapPolygon>
            </wp:wrapTight>
            <wp:docPr id="1" name="Pictur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left="0" w:right="0"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Style w:val="Style_3"/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0" w:hanging="142"/>
              <w:jc w:val="left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0"/>
                <w:szCs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pacing w:val="0"/>
                <w:kern w:val="0"/>
                <w:sz w:val="22"/>
                <w:szCs w:val="20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4"/>
        <w:tblW w:w="9671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1"/>
      </w:tblGrid>
      <w:tr>
        <w:trPr>
          <w:trHeight w:val="87" w:hRule="atLeast"/>
        </w:trPr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right="0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О внесении изменений в приложение к постановлению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</w:t>
            </w:r>
          </w:p>
        </w:tc>
      </w:tr>
    </w:tbl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к постановлению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 изменени</w:t>
      </w:r>
      <w:bookmarkStart w:id="1" w:name="_GoBack_Copy_1"/>
      <w:bookmarkEnd w:id="1"/>
      <w:r>
        <w:rPr>
          <w:rFonts w:ascii="Times New Roman" w:hAnsi="Times New Roman"/>
          <w:sz w:val="28"/>
        </w:rPr>
        <w:t>я,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right="27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right="27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" w:right="0" w:hanging="3"/>
              <w:jc w:val="left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[горизонтальный штамп подписи 1]</w:t>
            </w:r>
            <w:bookmarkEnd w:id="2"/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2" w:right="0" w:hanging="14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Е.А. Чекин</w:t>
            </w:r>
          </w:p>
        </w:tc>
      </w:tr>
    </w:tbl>
    <w:p>
      <w:pPr>
        <w:sectPr>
          <w:type w:val="nextPage"/>
          <w:pgSz w:w="11906" w:h="16838"/>
          <w:pgMar w:left="1418" w:right="851" w:gutter="0" w:header="0" w:top="1134" w:footer="0" w:bottom="851"/>
          <w:pgNumType w:start="1" w:fmt="decimal"/>
          <w:formProt w:val="false"/>
          <w:textDirection w:val="lrTb"/>
          <w:docGrid w:type="default" w:linePitch="100" w:charSpace="0"/>
        </w:sectPr>
      </w:pPr>
      <w:r>
        <w:br w:type="page"/>
      </w:r>
    </w:p>
    <w:tbl>
      <w:tblPr>
        <w:tblStyle w:val="Style_4"/>
        <w:tblW w:w="1456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481"/>
        <w:gridCol w:w="479"/>
        <w:gridCol w:w="7693"/>
        <w:gridCol w:w="505"/>
        <w:gridCol w:w="1881"/>
        <w:gridCol w:w="1353"/>
        <w:gridCol w:w="1689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right="0" w:hanging="807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right="0" w:hanging="807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right="0" w:hanging="807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right="0" w:hanging="807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от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right="0" w:hanging="8079"/>
              <w:jc w:val="right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 w:themeColor="background1"/>
                <w:spacing w:val="0"/>
                <w:kern w:val="0"/>
                <w:sz w:val="24"/>
                <w:szCs w:val="20"/>
              </w:rPr>
              <w:t>[REGDATESTA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right="0" w:hanging="8079"/>
              <w:jc w:val="right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/>
                <w:sz w:val="22"/>
              </w:rPr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right="0" w:hanging="807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№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right="0" w:hanging="8079"/>
              <w:jc w:val="right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 w:themeColor="background1"/>
                <w:spacing w:val="0"/>
                <w:kern w:val="0"/>
                <w:sz w:val="24"/>
                <w:szCs w:val="20"/>
              </w:rPr>
              <w:t>[R</w:t>
            </w:r>
          </w:p>
        </w:tc>
      </w:tr>
    </w:tbl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ind w:left="9241" w:right="0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«Приложение к постановлению                     </w:t>
      </w:r>
    </w:p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ind w:left="9241" w:right="0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Правительства Камчатского края                  </w:t>
      </w:r>
    </w:p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ind w:left="9241" w:right="0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30.11.2021 № 515-П</w:t>
      </w:r>
    </w:p>
    <w:p>
      <w:pPr>
        <w:pStyle w:val="Normal"/>
        <w:spacing w:lineRule="auto" w:line="240"/>
        <w:ind w:left="0" w:right="-2978" w:hanging="0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Детализированный перечень мероприятий,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реализуемых в рамках инфраструктурных проектов Камчатского края, отобранных в соответствии с постановлением Правительства Российской Федерации от 14.07.2021 № 1189 «Об утверждении Правил отбора инфраструктурных проектов,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развитию в Российской Федерации»</w:t>
      </w:r>
    </w:p>
    <w:tbl>
      <w:tblPr>
        <w:tblStyle w:val="Style_3"/>
        <w:tblW w:w="1562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668"/>
        <w:gridCol w:w="1928"/>
        <w:gridCol w:w="3664"/>
        <w:gridCol w:w="2554"/>
        <w:gridCol w:w="1709"/>
        <w:gridCol w:w="1542"/>
        <w:gridCol w:w="817"/>
        <w:gridCol w:w="1244"/>
      </w:tblGrid>
      <w:tr>
        <w:trPr>
          <w:trHeight w:val="521" w:hRule="atLeast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№       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п/п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Наименование органа местного самоуправления муниципальных образований в Камчатском крае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Наименование инвестиционного проекта</w:t>
            </w:r>
          </w:p>
        </w:tc>
        <w:tc>
          <w:tcPr>
            <w:tcW w:w="3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Наименование инфраструктурного проекта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Наименование объекта инфраструктуры/ адрес объекта/ проектная мощность объекта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Вид инфраструктуры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Виды работ</w:t>
            </w:r>
          </w:p>
        </w:tc>
        <w:tc>
          <w:tcPr>
            <w:tcW w:w="2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Сроки реализации</w:t>
            </w:r>
          </w:p>
        </w:tc>
      </w:tr>
      <w:tr>
        <w:trPr>
          <w:trHeight w:val="241" w:hRule="atLeast"/>
        </w:trPr>
        <w:tc>
          <w:tcPr>
            <w:tcW w:w="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6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9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36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5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06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</w:tr>
      <w:tr>
        <w:trPr>
          <w:trHeight w:val="873" w:hRule="atLeast"/>
        </w:trPr>
        <w:tc>
          <w:tcPr>
            <w:tcW w:w="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6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9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36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5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8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Дата       начала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Дата завершения</w:t>
            </w:r>
          </w:p>
        </w:tc>
      </w:tr>
    </w:tbl>
    <w:p>
      <w:pPr>
        <w:pStyle w:val="Normal"/>
        <w:spacing w:lineRule="auto" w:line="240" w:before="0" w:after="0"/>
        <w:ind w:left="0" w:right="-2978" w:hanging="0"/>
        <w:jc w:val="center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Style w:val="Style_3"/>
        <w:tblW w:w="1562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668"/>
        <w:gridCol w:w="1928"/>
        <w:gridCol w:w="3664"/>
        <w:gridCol w:w="2554"/>
        <w:gridCol w:w="1709"/>
        <w:gridCol w:w="1542"/>
        <w:gridCol w:w="817"/>
        <w:gridCol w:w="1244"/>
      </w:tblGrid>
      <w:tr>
        <w:trPr>
          <w:tblHeader w:val="true"/>
          <w:trHeight w:val="2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3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1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1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7</w:t>
            </w:r>
          </w:p>
        </w:tc>
        <w:tc>
          <w:tcPr>
            <w:tcW w:w="8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1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9</w:t>
            </w:r>
          </w:p>
        </w:tc>
      </w:tr>
      <w:tr>
        <w:trPr>
          <w:trHeight w:val="1530" w:hRule="atLeast"/>
        </w:trPr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1.</w:t>
            </w:r>
          </w:p>
        </w:tc>
        <w:tc>
          <w:tcPr>
            <w:tcW w:w="166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Елизовское городское поселение</w:t>
            </w:r>
          </w:p>
        </w:tc>
        <w:tc>
          <w:tcPr>
            <w:tcW w:w="192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Жилищное строительство в г. Елизово (район котельной № 20 по ул. Деркачева)</w:t>
            </w:r>
          </w:p>
        </w:tc>
        <w:tc>
          <w:tcPr>
            <w:tcW w:w="366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Инфраструктурный проект, реализуемый в целях обеспечения связанного с ним инвестиционного проекта «Жилищное строительство в г. Елизово (Район котельной № 20 по ул. Деркачева)»</w:t>
            </w:r>
          </w:p>
        </w:tc>
        <w:tc>
          <w:tcPr>
            <w:tcW w:w="255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котельной № 20 (ул. Деркачева) с передачей нагрузок котельной № 10 с учетом реконструкции тепловых сетей котельных/ 15,3 Гкал/ч</w:t>
            </w:r>
          </w:p>
        </w:tc>
        <w:tc>
          <w:tcPr>
            <w:tcW w:w="170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коммунальная</w:t>
            </w:r>
          </w:p>
        </w:tc>
        <w:tc>
          <w:tcPr>
            <w:tcW w:w="15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</w:t>
            </w:r>
          </w:p>
        </w:tc>
        <w:tc>
          <w:tcPr>
            <w:tcW w:w="8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2022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2025</w:t>
            </w:r>
          </w:p>
        </w:tc>
      </w:tr>
      <w:tr>
        <w:trPr>
          <w:trHeight w:val="2025" w:hRule="atLeast"/>
        </w:trPr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2.</w:t>
            </w:r>
          </w:p>
        </w:tc>
        <w:tc>
          <w:tcPr>
            <w:tcW w:w="166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Петропавловск-Камчатский городской округ</w:t>
            </w:r>
          </w:p>
        </w:tc>
        <w:tc>
          <w:tcPr>
            <w:tcW w:w="192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Строительство и эксплуатация гостинично-делового комплекса и хостела в г. Петропавловске-Камчатском Камчатского края</w:t>
            </w:r>
          </w:p>
        </w:tc>
        <w:tc>
          <w:tcPr>
            <w:tcW w:w="366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Инфраструктурный проект, реализуемый в целях обеспечения связанного с ним инвестиционного проекта «Строительство и эксплуатация гостинично-делового комплекса и хостела в г. Петропавловске-Камчатском Камчатского края» (строительство канализационно-насосной станции «Мехзавод» на территории Петропавловск-Камчатского городского округа)</w:t>
            </w:r>
          </w:p>
        </w:tc>
        <w:tc>
          <w:tcPr>
            <w:tcW w:w="255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системы водоотведения центральной части г. Петропавловска-Камчатского. Канализационная насосная станция КНС «Мехзавод»/ 7 487,07м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/сут</w:t>
            </w:r>
          </w:p>
        </w:tc>
        <w:tc>
          <w:tcPr>
            <w:tcW w:w="170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комм</w:t>
            </w:r>
            <w:bookmarkStart w:id="3" w:name="_GoBack"/>
            <w:bookmarkEnd w:id="3"/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унальная</w:t>
            </w:r>
          </w:p>
        </w:tc>
        <w:tc>
          <w:tcPr>
            <w:tcW w:w="154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</w:t>
            </w:r>
          </w:p>
        </w:tc>
        <w:tc>
          <w:tcPr>
            <w:tcW w:w="8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2022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2024</w:t>
            </w:r>
          </w:p>
        </w:tc>
      </w:tr>
      <w:tr>
        <w:trPr>
          <w:trHeight w:val="1500" w:hRule="atLeast"/>
        </w:trPr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3.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Раздольненское сельское поселение</w:t>
            </w:r>
          </w:p>
        </w:tc>
        <w:tc>
          <w:tcPr>
            <w:tcW w:w="19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Площадка ТРК «Зеленовские озерки» ТОР «Камчатка»</w:t>
            </w:r>
          </w:p>
        </w:tc>
        <w:tc>
          <w:tcPr>
            <w:tcW w:w="36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автомобильной дороги от площадки агропарка «Зеленовские озерки» ТОР «Камчатка» до перекрестка п. Раздольный – п. Кеткино»</w:t>
            </w:r>
          </w:p>
        </w:tc>
        <w:tc>
          <w:tcPr>
            <w:tcW w:w="255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автомобильной дороги Петропавловск-Камчатский - Мильково 40 км - Пиначево с подъездом к п. Раздольный и к базе с/х Заречный на участке км 1 - км 16,4. 1 этап (участок ПК28+00 - ПК80+00)/5,211 км</w:t>
            </w:r>
          </w:p>
        </w:tc>
        <w:tc>
          <w:tcPr>
            <w:tcW w:w="170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дорожная</w:t>
            </w:r>
          </w:p>
        </w:tc>
        <w:tc>
          <w:tcPr>
            <w:tcW w:w="154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</w:t>
            </w:r>
          </w:p>
        </w:tc>
        <w:tc>
          <w:tcPr>
            <w:tcW w:w="8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2022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2024</w:t>
            </w:r>
          </w:p>
        </w:tc>
      </w:tr>
      <w:tr>
        <w:trPr>
          <w:trHeight w:val="1515" w:hRule="atLeast"/>
        </w:trPr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4.</w:t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9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36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55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 автомобильной дороги Петропавловск-Камчатский - Мильково 40 км - Пиначево с подъездом к п. Раздольный и к базе с/х Заречный на участке км 1 - км 16,4. 2 этап (участок ПК00+00 - ПК28+00)/ 2,8км</w:t>
            </w:r>
          </w:p>
        </w:tc>
        <w:tc>
          <w:tcPr>
            <w:tcW w:w="170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дорожная</w:t>
            </w:r>
          </w:p>
        </w:tc>
        <w:tc>
          <w:tcPr>
            <w:tcW w:w="154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реконструкция</w:t>
            </w:r>
          </w:p>
        </w:tc>
        <w:tc>
          <w:tcPr>
            <w:tcW w:w="8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2022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2024</w:t>
            </w:r>
          </w:p>
        </w:tc>
      </w:tr>
      <w:tr>
        <w:trPr>
          <w:trHeight w:val="1425" w:hRule="atLeast"/>
        </w:trPr>
        <w:tc>
          <w:tcPr>
            <w:tcW w:w="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5.</w:t>
            </w:r>
          </w:p>
        </w:tc>
        <w:tc>
          <w:tcPr>
            <w:tcW w:w="166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Петропавловск-Камчатский городской округ</w:t>
            </w:r>
          </w:p>
        </w:tc>
        <w:tc>
          <w:tcPr>
            <w:tcW w:w="1928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Строительство МКД в г. Петропавловске-Камчатском (Строительство автостанции регионального значения с реконструкцией имеющихся зданий и сооружений)</w:t>
            </w:r>
          </w:p>
        </w:tc>
        <w:tc>
          <w:tcPr>
            <w:tcW w:w="366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Строительство автостанции регионального значения с реконструкцией имеющихся зданий и сооружений</w:t>
            </w:r>
          </w:p>
        </w:tc>
        <w:tc>
          <w:tcPr>
            <w:tcW w:w="255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Строительство автостанции регионального значения с реконструкцией имеющихся зданий и сооружений</w:t>
            </w:r>
          </w:p>
        </w:tc>
        <w:tc>
          <w:tcPr>
            <w:tcW w:w="170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транспортная</w:t>
            </w:r>
          </w:p>
        </w:tc>
        <w:tc>
          <w:tcPr>
            <w:tcW w:w="1542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строительство</w:t>
            </w:r>
          </w:p>
        </w:tc>
        <w:tc>
          <w:tcPr>
            <w:tcW w:w="817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2024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2025</w:t>
            </w:r>
          </w:p>
        </w:tc>
      </w:tr>
    </w:tbl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br w:type="page"/>
      </w:r>
    </w:p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продолжение таблицы</w:t>
      </w:r>
    </w:p>
    <w:tbl>
      <w:tblPr>
        <w:tblStyle w:val="Style_3"/>
        <w:tblW w:w="15851" w:type="dxa"/>
        <w:jc w:val="left"/>
        <w:tblInd w:w="-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2"/>
        <w:gridCol w:w="1449"/>
        <w:gridCol w:w="1414"/>
        <w:gridCol w:w="964"/>
        <w:gridCol w:w="1448"/>
        <w:gridCol w:w="1414"/>
        <w:gridCol w:w="1506"/>
        <w:gridCol w:w="1470"/>
        <w:gridCol w:w="960"/>
        <w:gridCol w:w="1452"/>
        <w:gridCol w:w="1024"/>
        <w:gridCol w:w="2162"/>
        <w:gridCol w:w="24"/>
        <w:gridCol w:w="1"/>
      </w:tblGrid>
      <w:tr>
        <w:trPr>
          <w:trHeight w:val="344" w:hRule="atLeast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№   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п/п</w:t>
            </w:r>
          </w:p>
        </w:tc>
        <w:tc>
          <w:tcPr>
            <w:tcW w:w="131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246" w:hRule="atLeast"/>
        </w:trPr>
        <w:tc>
          <w:tcPr>
            <w:tcW w:w="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44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Всего</w:t>
            </w:r>
          </w:p>
        </w:tc>
        <w:tc>
          <w:tcPr>
            <w:tcW w:w="11652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192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том числе:</w:t>
            </w:r>
          </w:p>
        </w:tc>
        <w:tc>
          <w:tcPr>
            <w:tcW w:w="21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373" w:hRule="atLeast"/>
        </w:trPr>
        <w:tc>
          <w:tcPr>
            <w:tcW w:w="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44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4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ИБК</w:t>
            </w:r>
          </w:p>
        </w:tc>
        <w:tc>
          <w:tcPr>
            <w:tcW w:w="7762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том числе:</w:t>
            </w:r>
          </w:p>
        </w:tc>
        <w:tc>
          <w:tcPr>
            <w:tcW w:w="14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Консолидированный </w:t>
            </w:r>
            <w:r>
              <w:rPr>
                <w:rFonts w:ascii="Times New Roman" w:hAnsi="Times New Roman"/>
                <w:spacing w:val="0"/>
                <w:kern w:val="0"/>
                <w:sz w:val="19"/>
                <w:szCs w:val="20"/>
              </w:rPr>
              <w:t>региональный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 бюджет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590" w:hRule="atLeast"/>
        </w:trPr>
        <w:tc>
          <w:tcPr>
            <w:tcW w:w="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44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41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2021 году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2022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году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2023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году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в 2024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году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 xml:space="preserve">в 2025 </w:t>
            </w:r>
            <w:r>
              <w:rPr>
                <w:kern w:val="0"/>
                <w:sz w:val="22"/>
                <w:szCs w:val="20"/>
              </w:rPr>
              <w:br/>
            </w: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году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после 2025 года</w:t>
            </w:r>
          </w:p>
        </w:tc>
        <w:tc>
          <w:tcPr>
            <w:tcW w:w="145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02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1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314" w:hRule="atLeast"/>
        </w:trPr>
        <w:tc>
          <w:tcPr>
            <w:tcW w:w="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pacing w:val="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тыс.руб.</w:t>
            </w:r>
          </w:p>
        </w:tc>
        <w:tc>
          <w:tcPr>
            <w:tcW w:w="21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kern w:val="0"/>
                <w:sz w:val="22"/>
                <w:szCs w:val="20"/>
              </w:rPr>
            </w:pPr>
            <w:r>
              <w:rPr>
                <w:kern w:val="0"/>
                <w:sz w:val="22"/>
                <w:szCs w:val="20"/>
              </w:rPr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222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pacing w:val="0"/>
              </w:rPr>
            </w:pPr>
            <w:r>
              <w:rPr>
                <w:rFonts w:ascii="Times New Roman" w:hAnsi="Times New Roman"/>
                <w:spacing w:val="0"/>
                <w:kern w:val="0"/>
                <w:sz w:val="18"/>
                <w:szCs w:val="20"/>
              </w:rPr>
              <w:t>1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10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12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13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14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15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17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18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19</w:t>
            </w:r>
          </w:p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20</w:t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86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1.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496 344,84979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491 200,13256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252 091,14440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6 153,41812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73 622,32471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159 333,24533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5 144,71723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ЖКХ и энергетики Камчатского края.</w:t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149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2.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359 387,19388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218 570,19300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174 570,19300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4 991,11000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39 008,89000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140 817,00088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ЖКХ и энергетики Камчатского края, КГУП «Камчатский водоканал»</w:t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115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3.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905 226,02281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905 226,0228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200 000,00000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195 443,31650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57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509 782,70631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109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4.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214 465,64903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214 465,64903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100 000,00000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8 015,21287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106 450,43616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  <w:tr>
        <w:trPr>
          <w:trHeight w:val="1169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5.</w:t>
            </w: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604 102,00000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604 102,00000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201 367,00000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402 735,00000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0,00000</w:t>
            </w:r>
          </w:p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16" w:before="0" w:after="0"/>
              <w:ind w:left="0" w:right="0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24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  <w:tc>
          <w:tcPr>
            <w:tcW w:w="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spacing w:before="0" w:after="160"/>
              <w:ind w:left="0" w:right="0" w:hanging="0"/>
              <w:jc w:val="left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</w:r>
          </w:p>
        </w:tc>
      </w:tr>
    </w:tbl>
    <w:p>
      <w:pPr>
        <w:pStyle w:val="Normal"/>
        <w:tabs>
          <w:tab w:val="clear" w:pos="708"/>
          <w:tab w:val="left" w:pos="4377" w:leader="none"/>
        </w:tabs>
        <w:spacing w:lineRule="auto" w:line="240" w:before="0" w:after="0"/>
        <w:ind w:left="0" w:right="-3119" w:hanging="0"/>
        <w:jc w:val="right"/>
        <w:rPr/>
      </w:pPr>
      <w:r>
        <w:rPr/>
      </w:r>
    </w:p>
    <w:sectPr>
      <w:headerReference w:type="default" r:id="rId3"/>
      <w:type w:val="nextPage"/>
      <w:pgSz w:orient="landscape" w:w="16838" w:h="11906"/>
      <w:pgMar w:left="567" w:right="536" w:gutter="0" w:header="709" w:top="1134" w:footer="0" w:bottom="28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Iosevka Term SS03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>
            <wp:anchor behindDoc="0" distT="0" distB="0" distL="0" distR="0" simplePos="0" locked="0" layoutInCell="0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5" cy="169545"/>
              <wp:effectExtent l="0" t="635" r="0" b="0"/>
              <wp:wrapSquare wrapText="bothSides"/>
              <wp:docPr id="2" name="Pictur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26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3" path="m0,0l-2147483645,0l-2147483645,-2147483646l0,-2147483646xe" stroked="f" o:allowincell="f" style="position:absolute;margin-left:353.85pt;margin-top:0.05pt;width:78.9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0" distT="0" distB="0" distL="0" distR="0" simplePos="0" locked="0" layoutInCell="0" allowOverlap="1" relativeHeight="1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5" cy="169545"/>
              <wp:effectExtent l="0" t="635" r="0" b="0"/>
              <wp:wrapSquare wrapText="bothSides"/>
              <wp:docPr id="4" name="Pictur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26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2" path="m0,0l-2147483645,0l-2147483645,-2147483646l0,-2147483646xe" stroked="f" o:allowincell="f" style="position:absolute;margin-left:353.85pt;margin-top:0.05pt;width:78.9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0" distT="0" distB="0" distL="0" distR="0" simplePos="0" locked="0" layoutInCell="0" allowOverlap="1" relativeHeight="1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5" cy="169545"/>
              <wp:effectExtent l="0" t="635" r="0" b="0"/>
              <wp:wrapSquare wrapText="bothSides"/>
              <wp:docPr id="6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26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353.85pt;margin-top:0.05pt;width:78.9pt;height:13.3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0" distT="0" distB="0" distL="0" distR="0" simplePos="0" locked="0" layoutInCell="0" allowOverlap="1" relativeHeight="2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5" cy="169545"/>
              <wp:effectExtent l="0" t="0" r="0" b="0"/>
              <wp:wrapSquare wrapText="bothSides"/>
              <wp:docPr id="8" name="Врезка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2600" cy="169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5" path="m0,0l-2147483645,0l-2147483645,-2147483646l0,-2147483646xe" stroked="f" o:allowincell="f" style="position:absolute;margin-left:353.85pt;margin-top:0.05pt;width:78.9pt;height:13.3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21">
    <w:name w:val="Заголовок 2 Знак"/>
    <w:link w:val="26"/>
    <w:qFormat/>
    <w:rPr>
      <w:rFonts w:ascii="XO Thames" w:hAnsi="XO Thames"/>
      <w:b/>
      <w:color w:val="000000"/>
      <w:spacing w:val="0"/>
      <w:sz w:val="28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Style9">
    <w:name w:val="Верхний колонтитул Знак"/>
    <w:basedOn w:val="11"/>
    <w:link w:val="Style24"/>
    <w:qFormat/>
    <w:rPr/>
  </w:style>
  <w:style w:type="character" w:styleId="Textbody">
    <w:name w:val="Text body"/>
    <w:link w:val="Textbody1"/>
    <w:qFormat/>
    <w:rPr/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Subtitle">
    <w:name w:val="Subtitle"/>
    <w:qFormat/>
    <w:rPr>
      <w:rFonts w:ascii="XO Thames" w:hAnsi="XO Thames"/>
      <w:i/>
      <w:color w:val="000000"/>
      <w:spacing w:val="0"/>
      <w:sz w:val="24"/>
    </w:rPr>
  </w:style>
  <w:style w:type="character" w:styleId="7">
    <w:name w:val="Оглавление 7 Знак"/>
    <w:link w:val="72"/>
    <w:qFormat/>
    <w:rPr>
      <w:rFonts w:ascii="XO Thames" w:hAnsi="XO Thames"/>
      <w:color w:val="000000"/>
      <w:spacing w:val="0"/>
      <w:sz w:val="28"/>
    </w:rPr>
  </w:style>
  <w:style w:type="character" w:styleId="11">
    <w:name w:val="Обычный1"/>
    <w:link w:val="16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12">
    <w:name w:val="Гиперссылка1"/>
    <w:basedOn w:val="15"/>
    <w:link w:val="17"/>
    <w:qFormat/>
    <w:rPr>
      <w:color w:val="0563C1" w:themeColor="hyperlink"/>
      <w:u w:val="single"/>
    </w:rPr>
  </w:style>
  <w:style w:type="character" w:styleId="Internetlink">
    <w:name w:val="Internet link"/>
    <w:link w:val="Internetlink1"/>
    <w:qFormat/>
    <w:rPr>
      <w:rFonts w:ascii="Calibri" w:hAnsi="Calibri"/>
      <w:color w:val="0000FF"/>
      <w:spacing w:val="0"/>
      <w:sz w:val="22"/>
      <w:u w:val="single"/>
    </w:rPr>
  </w:style>
  <w:style w:type="character" w:styleId="Caption">
    <w:name w:val="caption"/>
    <w:link w:val="Caption2"/>
    <w:qFormat/>
    <w:rPr>
      <w:i/>
      <w:sz w:val="24"/>
    </w:rPr>
  </w:style>
  <w:style w:type="character" w:styleId="Heading3">
    <w:name w:val="Heading 3"/>
    <w:qFormat/>
    <w:rPr>
      <w:rFonts w:ascii="XO Thames" w:hAnsi="XO Thames"/>
      <w:b/>
      <w:color w:val="000000"/>
      <w:sz w:val="26"/>
    </w:rPr>
  </w:style>
  <w:style w:type="character" w:styleId="Style10">
    <w:name w:val="Содержимое врезки"/>
    <w:link w:val="Style26"/>
    <w:qFormat/>
    <w:rPr/>
  </w:style>
  <w:style w:type="character" w:styleId="Indexheading">
    <w:name w:val="index heading"/>
    <w:link w:val="Indexheading1"/>
    <w:qFormat/>
    <w:rPr/>
  </w:style>
  <w:style w:type="character" w:styleId="Style11">
    <w:name w:val="Нижний колонтитул Знак"/>
    <w:basedOn w:val="11"/>
    <w:link w:val="Style27"/>
    <w:qFormat/>
    <w:rPr>
      <w:rFonts w:ascii="Times New Roman" w:hAnsi="Times New Roman"/>
      <w:sz w:val="28"/>
    </w:rPr>
  </w:style>
  <w:style w:type="character" w:styleId="Header">
    <w:name w:val="Header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22">
    <w:name w:val="Оглавление 2 Знак"/>
    <w:link w:val="27"/>
    <w:qFormat/>
    <w:rPr>
      <w:rFonts w:ascii="XO Thames" w:hAnsi="XO Thames"/>
      <w:color w:val="000000"/>
      <w:spacing w:val="0"/>
      <w:sz w:val="28"/>
    </w:rPr>
  </w:style>
  <w:style w:type="character" w:styleId="31">
    <w:name w:val="Оглавление 3 Знак"/>
    <w:link w:val="33"/>
    <w:qFormat/>
    <w:rPr>
      <w:rFonts w:ascii="XO Thames" w:hAnsi="XO Thames"/>
      <w:color w:val="000000"/>
      <w:spacing w:val="0"/>
      <w:sz w:val="28"/>
    </w:rPr>
  </w:style>
  <w:style w:type="character" w:styleId="13">
    <w:name w:val="Оглавление 1 Знак"/>
    <w:link w:val="18"/>
    <w:qFormat/>
    <w:rPr>
      <w:rFonts w:ascii="XO Thames" w:hAnsi="XO Thames"/>
      <w:b/>
      <w:color w:val="000000"/>
      <w:spacing w:val="0"/>
      <w:sz w:val="28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Style12">
    <w:name w:val="Подзаголовок Знак"/>
    <w:link w:val="Style30"/>
    <w:qFormat/>
    <w:rPr>
      <w:rFonts w:ascii="XO Thames" w:hAnsi="XO Thames"/>
      <w:i/>
      <w:color w:val="000000"/>
      <w:spacing w:val="0"/>
      <w:sz w:val="24"/>
    </w:rPr>
  </w:style>
  <w:style w:type="character" w:styleId="32">
    <w:name w:val="Заголовок 3 Знак"/>
    <w:link w:val="34"/>
    <w:qFormat/>
    <w:rPr>
      <w:rFonts w:ascii="XO Thames" w:hAnsi="XO Thames"/>
      <w:b/>
      <w:color w:val="000000"/>
      <w:spacing w:val="0"/>
      <w:sz w:val="26"/>
    </w:rPr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List">
    <w:name w:val="List"/>
    <w:basedOn w:val="Textbody"/>
    <w:qFormat/>
    <w:rPr/>
  </w:style>
  <w:style w:type="character" w:styleId="ListParagraph">
    <w:name w:val="List Paragraph"/>
    <w:link w:val="ListParagraph1"/>
    <w:qFormat/>
    <w:rPr>
      <w:rFonts w:ascii="Times New Roman" w:hAnsi="Times New Roman"/>
      <w:sz w:val="24"/>
    </w:rPr>
  </w:style>
  <w:style w:type="character" w:styleId="Footer">
    <w:name w:val="Footer"/>
    <w:qFormat/>
    <w:rPr>
      <w:rFonts w:ascii="Times New Roman" w:hAnsi="Times New Roman"/>
      <w:sz w:val="28"/>
    </w:rPr>
  </w:style>
  <w:style w:type="character" w:styleId="Title">
    <w:name w:val="Title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Style13">
    <w:name w:val="Текст в заданном формате"/>
    <w:link w:val="Style33"/>
    <w:qFormat/>
    <w:rPr>
      <w:rFonts w:ascii="Iosevka Term SS03" w:hAnsi="Iosevka Term SS03"/>
      <w:sz w:val="20"/>
    </w:rPr>
  </w:style>
  <w:style w:type="character" w:styleId="8">
    <w:name w:val="Оглавление 8 Знак"/>
    <w:link w:val="81"/>
    <w:qFormat/>
    <w:rPr>
      <w:rFonts w:ascii="XO Thames" w:hAnsi="XO Thames"/>
      <w:color w:val="000000"/>
      <w:spacing w:val="0"/>
      <w:sz w:val="28"/>
    </w:rPr>
  </w:style>
  <w:style w:type="character" w:styleId="9">
    <w:name w:val="Оглавление 9 Знак"/>
    <w:link w:val="91"/>
    <w:qFormat/>
    <w:rPr>
      <w:rFonts w:ascii="XO Thames" w:hAnsi="XO Thames"/>
      <w:color w:val="000000"/>
      <w:spacing w:val="0"/>
      <w:sz w:val="28"/>
    </w:rPr>
  </w:style>
  <w:style w:type="character" w:styleId="Heading1">
    <w:name w:val="Heading 1"/>
    <w:qFormat/>
    <w:rPr>
      <w:rFonts w:ascii="XO Thames" w:hAnsi="XO Thames"/>
      <w:b/>
      <w:color w:val="000000"/>
      <w:spacing w:val="0"/>
      <w:sz w:val="32"/>
    </w:rPr>
  </w:style>
  <w:style w:type="character" w:styleId="Style14">
    <w:name w:val="Указатель"/>
    <w:link w:val="Style23"/>
    <w:qFormat/>
    <w:rPr/>
  </w:style>
  <w:style w:type="character" w:styleId="Style15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aption1">
    <w:name w:val="Caption"/>
    <w:qFormat/>
    <w:rPr>
      <w:i/>
      <w:sz w:val="24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51">
    <w:name w:val="Оглавление 5 Знак"/>
    <w:link w:val="53"/>
    <w:qFormat/>
    <w:rPr>
      <w:rFonts w:ascii="XO Thames" w:hAnsi="XO Thames"/>
      <w:color w:val="000000"/>
      <w:spacing w:val="0"/>
      <w:sz w:val="28"/>
    </w:rPr>
  </w:style>
  <w:style w:type="character" w:styleId="6">
    <w:name w:val="Оглавление 6 Знак"/>
    <w:link w:val="62"/>
    <w:qFormat/>
    <w:rPr>
      <w:rFonts w:ascii="XO Thames" w:hAnsi="XO Thames"/>
      <w:color w:val="000000"/>
      <w:spacing w:val="0"/>
      <w:sz w:val="28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Style16">
    <w:name w:val="Заголовок Знак"/>
    <w:link w:val="Style34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14">
    <w:name w:val="Заголовок 1 Знак"/>
    <w:link w:val="110"/>
    <w:qFormat/>
    <w:rPr>
      <w:rFonts w:ascii="XO Thames" w:hAnsi="XO Thames"/>
      <w:b/>
      <w:color w:val="000000"/>
      <w:spacing w:val="0"/>
      <w:sz w:val="32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23">
    <w:name w:val="Основной шрифт абзаца2"/>
    <w:link w:val="28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41">
    <w:name w:val="Оглавление 4 Знак"/>
    <w:link w:val="44"/>
    <w:qFormat/>
    <w:rPr>
      <w:rFonts w:ascii="XO Thames" w:hAnsi="XO Thames"/>
      <w:color w:val="000000"/>
      <w:spacing w:val="0"/>
      <w:sz w:val="28"/>
    </w:rPr>
  </w:style>
  <w:style w:type="character" w:styleId="52">
    <w:name w:val="Заголовок 5 Знак"/>
    <w:link w:val="54"/>
    <w:qFormat/>
    <w:rPr>
      <w:rFonts w:ascii="XO Thames" w:hAnsi="XO Thames"/>
      <w:b/>
      <w:color w:val="000000"/>
      <w:spacing w:val="0"/>
      <w:sz w:val="22"/>
    </w:rPr>
  </w:style>
  <w:style w:type="character" w:styleId="24">
    <w:name w:val="Гиперссылка2"/>
    <w:link w:val="29"/>
    <w:qFormat/>
    <w:rPr>
      <w:rFonts w:ascii="Calibri" w:hAnsi="Calibri"/>
      <w:color w:val="0000FF"/>
      <w:spacing w:val="0"/>
      <w:sz w:val="22"/>
      <w:u w:val="single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Style17">
    <w:name w:val="Колонтитул"/>
    <w:link w:val="Style28"/>
    <w:qFormat/>
    <w:rPr>
      <w:rFonts w:ascii="XO Thames" w:hAnsi="XO Thames"/>
      <w:color w:val="000000"/>
      <w:spacing w:val="0"/>
      <w:sz w:val="20"/>
    </w:rPr>
  </w:style>
  <w:style w:type="character" w:styleId="15">
    <w:name w:val="Основной шрифт абзаца1"/>
    <w:link w:val="11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8">
    <w:name w:val="Заголовок"/>
    <w:link w:val="Style19"/>
    <w:qFormat/>
    <w:rPr>
      <w:rFonts w:ascii="Open Sans" w:hAnsi="Open Sans"/>
      <w:sz w:val="28"/>
    </w:rPr>
  </w:style>
  <w:style w:type="character" w:styleId="42">
    <w:name w:val="Заголовок 4 Знак"/>
    <w:link w:val="45"/>
    <w:qFormat/>
    <w:rPr>
      <w:rFonts w:ascii="XO Thames" w:hAnsi="XO Thames"/>
      <w:b/>
      <w:color w:val="000000"/>
      <w:spacing w:val="0"/>
      <w:sz w:val="24"/>
    </w:rPr>
  </w:style>
  <w:style w:type="paragraph" w:styleId="Style19">
    <w:name w:val="Заголовок"/>
    <w:basedOn w:val="Normal"/>
    <w:next w:val="Style20"/>
    <w:link w:val="Style18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Textbody1"/>
    <w:pPr/>
    <w:rPr/>
  </w:style>
  <w:style w:type="paragraph" w:styleId="Style22">
    <w:name w:val="Caption"/>
    <w:basedOn w:val="Normal"/>
    <w:qFormat/>
    <w:pPr>
      <w:spacing w:before="120" w:after="120"/>
    </w:pPr>
    <w:rPr>
      <w:i/>
      <w:sz w:val="24"/>
    </w:rPr>
  </w:style>
  <w:style w:type="paragraph" w:styleId="Style23">
    <w:name w:val="Указатель"/>
    <w:basedOn w:val="Normal"/>
    <w:link w:val="Style14"/>
    <w:qFormat/>
    <w:pPr/>
    <w:rPr/>
  </w:style>
  <w:style w:type="paragraph" w:styleId="25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6">
    <w:name w:val="Заголовок 2 Знак"/>
    <w:link w:val="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3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Верхний колонтитул Знак"/>
    <w:basedOn w:val="16"/>
    <w:link w:val="Style9"/>
    <w:qFormat/>
    <w:pPr/>
    <w:rPr/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1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1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5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2">
    <w:name w:val="Оглавление 7 Знак"/>
    <w:link w:val="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6">
    <w:name w:val="Обычный1"/>
    <w:link w:val="11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7">
    <w:name w:val="Гиперссылка1"/>
    <w:basedOn w:val="111"/>
    <w:link w:val="12"/>
    <w:qFormat/>
    <w:pPr/>
    <w:rPr>
      <w:color w:val="0563C1" w:themeColor="hyperlink"/>
      <w:u w:val="single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Caption2">
    <w:name w:val="caption"/>
    <w:basedOn w:val="Normal"/>
    <w:link w:val="Caption"/>
    <w:qFormat/>
    <w:pPr>
      <w:spacing w:before="120" w:after="120"/>
    </w:pPr>
    <w:rPr>
      <w:i/>
      <w:sz w:val="24"/>
    </w:rPr>
  </w:style>
  <w:style w:type="paragraph" w:styleId="Style26">
    <w:name w:val="Содержимое врезки"/>
    <w:basedOn w:val="Normal"/>
    <w:link w:val="Style10"/>
    <w:qFormat/>
    <w:pPr/>
    <w:rPr/>
  </w:style>
  <w:style w:type="paragraph" w:styleId="Indexheading1">
    <w:name w:val="index heading"/>
    <w:basedOn w:val="Normal"/>
    <w:link w:val="Indexheading"/>
    <w:qFormat/>
    <w:pPr/>
    <w:rPr/>
  </w:style>
  <w:style w:type="paragraph" w:styleId="Style27">
    <w:name w:val="Нижний колонтитул Знак"/>
    <w:basedOn w:val="16"/>
    <w:link w:val="Style11"/>
    <w:qFormat/>
    <w:pPr/>
    <w:rPr>
      <w:rFonts w:ascii="Times New Roman" w:hAnsi="Times New Roman"/>
      <w:sz w:val="28"/>
    </w:rPr>
  </w:style>
  <w:style w:type="paragraph" w:styleId="Style28">
    <w:name w:val="Колонтитул"/>
    <w:link w:val="Style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9">
    <w:name w:val="Head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27">
    <w:name w:val="Оглавление 2 Знак"/>
    <w:link w:val="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Оглавление 3 Знак"/>
    <w:link w:val="3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8">
    <w:name w:val="Оглавление 1 Знак"/>
    <w:link w:val="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0">
    <w:name w:val="Подзаголовок Знак"/>
    <w:link w:val="Style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4">
    <w:name w:val="Заголовок 3 Знак"/>
    <w:link w:val="3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35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lineRule="auto" w:line="240" w:before="0" w:after="0"/>
      <w:ind w:left="720" w:right="0" w:hanging="0"/>
      <w:contextualSpacing/>
    </w:pPr>
    <w:rPr>
      <w:rFonts w:ascii="Times New Roman" w:hAnsi="Times New Roman"/>
      <w:sz w:val="24"/>
    </w:rPr>
  </w:style>
  <w:style w:type="paragraph" w:styleId="Style31">
    <w:name w:val="Foot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2">
    <w:name w:val="Title"/>
    <w:next w:val="Style20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33">
    <w:name w:val="Текст в заданном формате"/>
    <w:basedOn w:val="Normal"/>
    <w:link w:val="Style13"/>
    <w:qFormat/>
    <w:pPr>
      <w:spacing w:before="0" w:after="0"/>
    </w:pPr>
    <w:rPr>
      <w:rFonts w:ascii="Iosevka Term SS03" w:hAnsi="Iosevka Term SS03"/>
      <w:sz w:val="20"/>
    </w:rPr>
  </w:style>
  <w:style w:type="paragraph" w:styleId="81">
    <w:name w:val="Оглавление 8 Знак"/>
    <w:link w:val="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1">
    <w:name w:val="Оглавление 9 Знак"/>
    <w:link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9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3">
    <w:name w:val="Оглавление 5 Знак"/>
    <w:link w:val="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2">
    <w:name w:val="Оглавление 6 Знак"/>
    <w:link w:val="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92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34">
    <w:name w:val="Заголовок Знак"/>
    <w:link w:val="Style1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2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0">
    <w:name w:val="Заголовок 1 Знак"/>
    <w:link w:val="1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8">
    <w:name w:val="Основной шрифт абзаца2"/>
    <w:link w:val="23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4">
    <w:name w:val="Оглавление 4 Знак"/>
    <w:link w:val="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4">
    <w:name w:val="Заголовок 5 Знак"/>
    <w:link w:val="5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9">
    <w:name w:val="Гиперссылка2"/>
    <w:link w:val="24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5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PlainText1">
    <w:name w:val="Plain Text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">
    <w:name w:val="Основной шрифт абзаца1"/>
    <w:link w:val="15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5">
    <w:name w:val="Заголовок 4 Знак"/>
    <w:link w:val="4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table" w:styleId="Style_85">
    <w:name w:val="Сетка таблицы2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">
    <w:name w:val="Table Grid"/>
    <w:basedOn w:val="Style_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86">
    <w:name w:val="Сетка таблицы1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LibreOffice/7.4.4.2$Linux_X86_64 LibreOffice_project/40$Build-2</Application>
  <AppVersion>15.0000</AppVersion>
  <Pages>4</Pages>
  <Words>692</Words>
  <Characters>4786</Characters>
  <CharactersWithSpaces>5501</CharactersWithSpaces>
  <Paragraphs>186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2024-04-03T15:21:36Z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