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Объявление</w:t>
      </w:r>
    </w:p>
    <w:p>
      <w:pPr>
        <w:pStyle w:val="Normal"/>
        <w:jc w:val="center"/>
        <w:rPr>
          <w:rFonts w:eastAsia="Calibri"/>
          <w:szCs w:val="28"/>
          <w:lang w:eastAsia="en-US"/>
        </w:rPr>
      </w:pPr>
      <w:r>
        <w:rPr>
          <w:szCs w:val="28"/>
        </w:rPr>
        <w:t xml:space="preserve">о проведении отбора получателей </w:t>
      </w:r>
      <w:r>
        <w:rPr>
          <w:spacing w:val="4"/>
          <w:szCs w:val="28"/>
        </w:rPr>
        <w:t xml:space="preserve">из краевого бюджета </w:t>
      </w:r>
      <w:r>
        <w:rPr>
          <w:rFonts w:eastAsia="Calibri" w:eastAsiaTheme="minorHAnsi"/>
          <w:szCs w:val="28"/>
          <w:lang w:eastAsia="en-US"/>
        </w:rPr>
        <w:t>субсидий исполнителям коммунальных услуг в целях возмещения недополученных доходов, возникших в результате обеспечения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w:t>
      </w:r>
    </w:p>
    <w:p>
      <w:pPr>
        <w:pStyle w:val="Normal"/>
        <w:jc w:val="center"/>
        <w:rPr>
          <w:rFonts w:eastAsia="Calibri"/>
          <w:szCs w:val="28"/>
          <w:lang w:eastAsia="en-US"/>
        </w:rPr>
      </w:pPr>
      <w:r>
        <w:rPr>
          <w:rFonts w:eastAsia="Calibri" w:eastAsiaTheme="minorHAnsi"/>
          <w:szCs w:val="28"/>
          <w:lang w:eastAsia="en-US"/>
        </w:rPr>
        <w:t xml:space="preserve"> </w:t>
      </w:r>
    </w:p>
    <w:p>
      <w:pPr>
        <w:pStyle w:val="Normal"/>
        <w:ind w:firstLine="709"/>
        <w:jc w:val="both"/>
        <w:rPr>
          <w:rFonts w:eastAsia="Calibri"/>
          <w:szCs w:val="28"/>
          <w:lang w:eastAsia="en-US"/>
        </w:rPr>
      </w:pPr>
      <w:r>
        <w:rPr>
          <w:szCs w:val="28"/>
        </w:rPr>
        <w:t xml:space="preserve">Министерством жилищно-коммунального хозяйства и энергетики Камчатского края (далее – Министерство) объявлен отбор получателей </w:t>
      </w:r>
      <w:r>
        <w:rPr>
          <w:spacing w:val="4"/>
          <w:szCs w:val="28"/>
        </w:rPr>
        <w:t xml:space="preserve">из краевого бюджета </w:t>
      </w:r>
      <w:r>
        <w:rPr>
          <w:rFonts w:eastAsia="Calibri" w:eastAsiaTheme="minorHAnsi"/>
          <w:szCs w:val="28"/>
          <w:lang w:eastAsia="en-US"/>
        </w:rPr>
        <w:t>субсидий исполнителям коммунальных услуг в целях возмещения недополученных доходов, возникших в результате обеспечения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w:t>
      </w:r>
      <w:r>
        <w:rPr>
          <w:szCs w:val="28"/>
        </w:rPr>
        <w:t xml:space="preserve"> на 2024 год, проводимый в соответствии с Порядком </w:t>
      </w:r>
      <w:r>
        <w:rPr>
          <w:rFonts w:eastAsia="Calibri" w:eastAsiaTheme="minorHAnsi"/>
          <w:szCs w:val="28"/>
          <w:lang w:eastAsia="en-US"/>
        </w:rPr>
        <w:t>предоставления субсидий исполнителям коммунальных услуг в целях возмещения недополученных доходов, возникших в результате обеспечения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w:t>
      </w:r>
      <w:r>
        <w:rPr>
          <w:szCs w:val="28"/>
        </w:rPr>
        <w:t>, утвержденным постановлением Правительства Камчатского края от 23.03.2015 № 117-П  (далее – Порядок).</w:t>
      </w:r>
    </w:p>
    <w:p>
      <w:pPr>
        <w:pStyle w:val="Normal"/>
        <w:tabs>
          <w:tab w:val="clear" w:pos="708"/>
          <w:tab w:val="left" w:pos="851" w:leader="none"/>
        </w:tabs>
        <w:ind w:firstLine="709"/>
        <w:jc w:val="both"/>
        <w:rPr>
          <w:szCs w:val="28"/>
        </w:rPr>
      </w:pPr>
      <w:r>
        <w:rPr>
          <w:szCs w:val="28"/>
        </w:rPr>
      </w:r>
    </w:p>
    <w:tbl>
      <w:tblPr>
        <w:tblStyle w:val="a3"/>
        <w:tblW w:w="9632"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703"/>
        <w:gridCol w:w="2414"/>
        <w:gridCol w:w="6515"/>
      </w:tblGrid>
      <w:tr>
        <w:trPr>
          <w:tblHeader w:val="true"/>
        </w:trPr>
        <w:tc>
          <w:tcPr>
            <w:tcW w:w="703" w:type="dxa"/>
            <w:tcBorders/>
          </w:tcPr>
          <w:p>
            <w:pPr>
              <w:pStyle w:val="Normal"/>
              <w:widowControl w:val="false"/>
              <w:tabs>
                <w:tab w:val="clear" w:pos="708"/>
                <w:tab w:val="left" w:pos="851" w:leader="none"/>
              </w:tabs>
              <w:suppressAutoHyphens w:val="true"/>
              <w:spacing w:before="0" w:after="0"/>
              <w:jc w:val="center"/>
              <w:rPr>
                <w:szCs w:val="28"/>
              </w:rPr>
            </w:pPr>
            <w:r>
              <w:rPr>
                <w:kern w:val="0"/>
                <w:szCs w:val="28"/>
                <w:lang w:val="ru-RU" w:bidi="ar-SA"/>
              </w:rPr>
              <w:t>1</w:t>
            </w:r>
          </w:p>
        </w:tc>
        <w:tc>
          <w:tcPr>
            <w:tcW w:w="2414" w:type="dxa"/>
            <w:tcBorders/>
          </w:tcPr>
          <w:p>
            <w:pPr>
              <w:pStyle w:val="Normal"/>
              <w:widowControl w:val="false"/>
              <w:suppressAutoHyphens w:val="true"/>
              <w:spacing w:before="0" w:after="0"/>
              <w:jc w:val="center"/>
              <w:rPr>
                <w:szCs w:val="28"/>
              </w:rPr>
            </w:pPr>
            <w:r>
              <w:rPr>
                <w:kern w:val="0"/>
                <w:szCs w:val="28"/>
                <w:lang w:val="ru-RU" w:bidi="ar-SA"/>
              </w:rPr>
              <w:t>2</w:t>
            </w:r>
          </w:p>
        </w:tc>
        <w:tc>
          <w:tcPr>
            <w:tcW w:w="6515" w:type="dxa"/>
            <w:tcBorders/>
          </w:tcPr>
          <w:p>
            <w:pPr>
              <w:pStyle w:val="Normal"/>
              <w:widowControl w:val="false"/>
              <w:tabs>
                <w:tab w:val="clear" w:pos="708"/>
                <w:tab w:val="left" w:pos="851" w:leader="none"/>
              </w:tabs>
              <w:suppressAutoHyphens w:val="true"/>
              <w:spacing w:before="0" w:after="0"/>
              <w:jc w:val="center"/>
              <w:rPr>
                <w:szCs w:val="28"/>
              </w:rPr>
            </w:pPr>
            <w:r>
              <w:rPr>
                <w:kern w:val="0"/>
                <w:szCs w:val="28"/>
                <w:lang w:val="ru-RU" w:bidi="ar-SA"/>
              </w:rPr>
              <w:t>3</w:t>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w:t>
            </w:r>
          </w:p>
        </w:tc>
        <w:tc>
          <w:tcPr>
            <w:tcW w:w="2414" w:type="dxa"/>
            <w:tcBorders/>
          </w:tcPr>
          <w:p>
            <w:pPr>
              <w:pStyle w:val="Normal"/>
              <w:widowControl w:val="false"/>
              <w:suppressAutoHyphens w:val="true"/>
              <w:spacing w:before="0" w:after="0"/>
              <w:jc w:val="both"/>
              <w:rPr>
                <w:rFonts w:eastAsia="Calibri"/>
                <w:szCs w:val="28"/>
                <w:lang w:eastAsia="en-US"/>
              </w:rPr>
            </w:pPr>
            <w:r>
              <w:rPr>
                <w:rFonts w:eastAsia="Calibri" w:eastAsiaTheme="minorHAnsi"/>
                <w:kern w:val="0"/>
                <w:szCs w:val="28"/>
                <w:lang w:val="ru-RU" w:eastAsia="en-US" w:bidi="ar-SA"/>
              </w:rPr>
              <w:t>Местонахождение (почтовый адрес) Министерства, адрес электронной почты, номера телефонов</w:t>
            </w:r>
          </w:p>
          <w:p>
            <w:pPr>
              <w:pStyle w:val="Normal"/>
              <w:widowControl w:val="false"/>
              <w:tabs>
                <w:tab w:val="clear" w:pos="708"/>
                <w:tab w:val="left" w:pos="851" w:leader="none"/>
              </w:tabs>
              <w:suppressAutoHyphens w:val="true"/>
              <w:spacing w:before="0" w:after="0"/>
              <w:jc w:val="left"/>
              <w:rPr>
                <w:szCs w:val="28"/>
              </w:rPr>
            </w:pPr>
            <w:r>
              <w:rPr>
                <w:szCs w:val="28"/>
              </w:rPr>
            </w:r>
          </w:p>
        </w:tc>
        <w:tc>
          <w:tcPr>
            <w:tcW w:w="6515" w:type="dxa"/>
            <w:tcBorders/>
          </w:tcPr>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полное наименование: Министерство жилищно-коммунального хозяйства и энергетики Камчатского края;</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сокращенное наименование: Министерство ЖКХ и энергетики Камчатского края;</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место нахождения: 683031, Камчатский край, г. Петропавловск-Камчатский, проспект Карла Маркса, д. 5;</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почтовый адрес: 683031, Камчатский край, г. Петропавловск-Камчатский, проспект Карла Маркса, д. 5;</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xml:space="preserve">- адрес электронной почты: </w:t>
            </w:r>
            <w:hyperlink r:id="rId2">
              <w:r>
                <w:rPr>
                  <w:rStyle w:val="Style15"/>
                  <w:rFonts w:cs="Times New Roman" w:ascii="Times New Roman" w:hAnsi="Times New Roman"/>
                  <w:kern w:val="0"/>
                  <w:sz w:val="28"/>
                  <w:szCs w:val="28"/>
                  <w:lang w:val="en-US" w:bidi="ar-SA"/>
                </w:rPr>
                <w:t>tek</w:t>
              </w:r>
              <w:r>
                <w:rPr>
                  <w:rStyle w:val="Style15"/>
                  <w:rFonts w:cs="Times New Roman" w:ascii="Times New Roman" w:hAnsi="Times New Roman"/>
                  <w:kern w:val="0"/>
                  <w:sz w:val="28"/>
                  <w:szCs w:val="28"/>
                  <w:lang w:val="ru-RU" w:bidi="ar-SA"/>
                </w:rPr>
                <w:t>1@</w:t>
              </w:r>
              <w:r>
                <w:rPr>
                  <w:rStyle w:val="Style15"/>
                  <w:rFonts w:cs="Times New Roman" w:ascii="Times New Roman" w:hAnsi="Times New Roman"/>
                  <w:kern w:val="0"/>
                  <w:sz w:val="28"/>
                  <w:szCs w:val="28"/>
                  <w:lang w:val="en-US" w:bidi="ar-SA"/>
                </w:rPr>
                <w:t>kamgov</w:t>
              </w:r>
              <w:r>
                <w:rPr>
                  <w:rStyle w:val="Style15"/>
                  <w:rFonts w:cs="Times New Roman" w:ascii="Times New Roman" w:hAnsi="Times New Roman"/>
                  <w:kern w:val="0"/>
                  <w:sz w:val="28"/>
                  <w:szCs w:val="28"/>
                  <w:lang w:val="ru-RU" w:bidi="ar-SA"/>
                </w:rPr>
                <w:t>.</w:t>
              </w:r>
              <w:r>
                <w:rPr>
                  <w:rStyle w:val="Style15"/>
                  <w:rFonts w:cs="Times New Roman" w:ascii="Times New Roman" w:hAnsi="Times New Roman"/>
                  <w:kern w:val="0"/>
                  <w:sz w:val="28"/>
                  <w:szCs w:val="28"/>
                  <w:lang w:val="en-US" w:bidi="ar-SA"/>
                </w:rPr>
                <w:t>ru</w:t>
              </w:r>
            </w:hyperlink>
            <w:r>
              <w:rPr>
                <w:rFonts w:cs="Times New Roman" w:ascii="Times New Roman" w:hAnsi="Times New Roman"/>
                <w:kern w:val="0"/>
                <w:sz w:val="28"/>
                <w:szCs w:val="28"/>
                <w:lang w:val="ru-RU" w:bidi="ar-SA"/>
              </w:rPr>
              <w:t xml:space="preserve"> ;</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телефон приемной (4152) 41-24-20; контактный телефон (4152) 42-03-05</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sz w:val="28"/>
                <w:szCs w:val="28"/>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2.</w:t>
            </w:r>
          </w:p>
        </w:tc>
        <w:tc>
          <w:tcPr>
            <w:tcW w:w="2414" w:type="dxa"/>
            <w:tcBorders/>
          </w:tcPr>
          <w:p>
            <w:pPr>
              <w:pStyle w:val="Normal"/>
              <w:widowControl w:val="false"/>
              <w:suppressAutoHyphens w:val="true"/>
              <w:spacing w:before="0" w:after="0"/>
              <w:jc w:val="left"/>
              <w:rPr>
                <w:szCs w:val="28"/>
              </w:rPr>
            </w:pPr>
            <w:r>
              <w:rPr>
                <w:kern w:val="0"/>
                <w:szCs w:val="28"/>
                <w:lang w:val="ru-RU" w:bidi="ar-SA"/>
              </w:rPr>
              <w:t>Срок проведения отбора</w:t>
            </w:r>
          </w:p>
        </w:tc>
        <w:tc>
          <w:tcPr>
            <w:tcW w:w="6515"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 xml:space="preserve">с </w:t>
            </w:r>
            <w:r>
              <w:rPr>
                <w:kern w:val="0"/>
                <w:szCs w:val="28"/>
                <w:lang w:val="ru-RU" w:bidi="ar-SA"/>
              </w:rPr>
              <w:t>29</w:t>
            </w:r>
            <w:r>
              <w:rPr>
                <w:kern w:val="0"/>
                <w:szCs w:val="28"/>
                <w:lang w:val="ru-RU" w:bidi="ar-SA"/>
              </w:rPr>
              <w:t xml:space="preserve">.01.2024 по </w:t>
            </w:r>
            <w:r>
              <w:rPr>
                <w:kern w:val="0"/>
                <w:szCs w:val="28"/>
                <w:lang w:val="ru-RU" w:bidi="ar-SA"/>
              </w:rPr>
              <w:t>08</w:t>
            </w:r>
            <w:r>
              <w:rPr>
                <w:kern w:val="0"/>
                <w:szCs w:val="28"/>
                <w:lang w:val="ru-RU" w:bidi="ar-SA"/>
              </w:rPr>
              <w:t>.0</w:t>
            </w:r>
            <w:r>
              <w:rPr>
                <w:kern w:val="0"/>
                <w:szCs w:val="28"/>
                <w:lang w:val="ru-RU" w:bidi="ar-SA"/>
              </w:rPr>
              <w:t>2</w:t>
            </w:r>
            <w:r>
              <w:rPr>
                <w:kern w:val="0"/>
                <w:szCs w:val="28"/>
                <w:lang w:val="ru-RU" w:bidi="ar-SA"/>
              </w:rPr>
              <w:t>.2024 (включительно);</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3.</w:t>
            </w:r>
          </w:p>
        </w:tc>
        <w:tc>
          <w:tcPr>
            <w:tcW w:w="2414"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Дата начала подачи приема заявок </w:t>
            </w:r>
          </w:p>
        </w:tc>
        <w:tc>
          <w:tcPr>
            <w:tcW w:w="6515"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29</w:t>
            </w:r>
            <w:r>
              <w:rPr>
                <w:kern w:val="0"/>
                <w:szCs w:val="28"/>
                <w:lang w:val="ru-RU" w:bidi="ar-SA"/>
              </w:rPr>
              <w:t>.01.2024</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4.</w:t>
            </w:r>
          </w:p>
        </w:tc>
        <w:tc>
          <w:tcPr>
            <w:tcW w:w="2414" w:type="dxa"/>
            <w:tcBorders/>
          </w:tcPr>
          <w:p>
            <w:pPr>
              <w:pStyle w:val="Normal"/>
              <w:widowControl w:val="false"/>
              <w:suppressAutoHyphens w:val="true"/>
              <w:spacing w:before="0" w:after="0"/>
              <w:jc w:val="left"/>
              <w:rPr>
                <w:szCs w:val="28"/>
              </w:rPr>
            </w:pPr>
            <w:r>
              <w:rPr>
                <w:kern w:val="0"/>
                <w:szCs w:val="28"/>
                <w:lang w:val="ru-RU" w:bidi="ar-SA"/>
              </w:rPr>
              <w:t>Результат предоставления субсидии</w:t>
            </w:r>
          </w:p>
        </w:tc>
        <w:tc>
          <w:tcPr>
            <w:tcW w:w="6515" w:type="dxa"/>
            <w:tcBorders/>
          </w:tcPr>
          <w:p>
            <w:pPr>
              <w:pStyle w:val="Normal"/>
              <w:widowControl w:val="false"/>
              <w:suppressAutoHyphens w:val="true"/>
              <w:spacing w:before="0" w:after="0"/>
              <w:ind w:firstLine="601"/>
              <w:jc w:val="both"/>
              <w:rPr>
                <w:rFonts w:eastAsia="Calibri"/>
                <w:szCs w:val="28"/>
                <w:lang w:eastAsia="en-US"/>
              </w:rPr>
            </w:pPr>
            <w:r>
              <w:rPr>
                <w:kern w:val="0"/>
                <w:szCs w:val="28"/>
                <w:lang w:val="ru-RU" w:bidi="ar-SA"/>
              </w:rPr>
              <w:t xml:space="preserve">Результатом предоставления субсидии является </w:t>
            </w:r>
            <w:r>
              <w:rPr>
                <w:rFonts w:eastAsia="Calibri" w:eastAsiaTheme="minorHAnsi"/>
                <w:kern w:val="0"/>
                <w:szCs w:val="28"/>
                <w:lang w:val="ru-RU" w:eastAsia="en-US" w:bidi="ar-SA"/>
              </w:rPr>
              <w:t>отсутствие по состоянию на 31 декабря текущего финансового года фактов превышения вносимой гражданами платы за коммунальные услуги уровня предельных (максимальных) индексов изменения размера вносимой гражданами платы за коммунальные услуги в муниципальных образованиях в Камчатском крае, утверждаемых постановлением губернатора Камчатского края.</w:t>
            </w:r>
          </w:p>
          <w:p>
            <w:pPr>
              <w:pStyle w:val="Normal"/>
              <w:widowControl w:val="false"/>
              <w:suppressAutoHyphens w:val="true"/>
              <w:spacing w:before="0" w:after="0"/>
              <w:ind w:firstLine="601"/>
              <w:jc w:val="both"/>
              <w:rPr>
                <w:szCs w:val="28"/>
              </w:rPr>
            </w:pPr>
            <w:r>
              <w:rPr>
                <w:rFonts w:eastAsia="Calibri" w:eastAsiaTheme="minorHAnsi"/>
                <w:kern w:val="0"/>
                <w:szCs w:val="28"/>
                <w:lang w:val="ru-RU" w:eastAsia="en-US" w:bidi="ar-SA"/>
              </w:rPr>
              <w:t>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формы предоставления получателем субсидии отчетности о достижении показателя устанавливаются в соглашении.</w:t>
            </w:r>
          </w:p>
          <w:p>
            <w:pPr>
              <w:pStyle w:val="Normal"/>
              <w:widowControl w:val="false"/>
              <w:suppressAutoHyphens w:val="true"/>
              <w:spacing w:before="0" w:after="0"/>
              <w:ind w:firstLine="601"/>
              <w:jc w:val="both"/>
              <w:rPr>
                <w:szCs w:val="28"/>
              </w:rPr>
            </w:pPr>
            <w:r>
              <w:rPr>
                <w:szCs w:val="28"/>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5.</w:t>
            </w:r>
          </w:p>
        </w:tc>
        <w:tc>
          <w:tcPr>
            <w:tcW w:w="2414"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Проведение отбора осуществляется на официальном сайте Министерства жилищно-коммунального хозяйства и энергетики Камчатского края </w:t>
            </w:r>
          </w:p>
        </w:tc>
        <w:tc>
          <w:tcPr>
            <w:tcW w:w="6515" w:type="dxa"/>
            <w:tcBorders/>
          </w:tcPr>
          <w:p>
            <w:pPr>
              <w:pStyle w:val="Normal"/>
              <w:widowControl w:val="false"/>
              <w:suppressAutoHyphens w:val="true"/>
              <w:spacing w:before="0" w:after="0"/>
              <w:ind w:firstLine="601"/>
              <w:jc w:val="both"/>
              <w:rPr>
                <w:szCs w:val="28"/>
              </w:rPr>
            </w:pPr>
            <w:r>
              <w:rPr>
                <w:kern w:val="0"/>
                <w:szCs w:val="28"/>
                <w:lang w:val="ru-RU" w:bidi="ar-SA"/>
              </w:rPr>
              <w:t xml:space="preserve">Министерство обеспечивает проведение отбора </w:t>
            </w:r>
            <w:r>
              <w:rPr>
                <w:rFonts w:eastAsia="Calibri" w:eastAsiaTheme="minorHAnsi"/>
                <w:kern w:val="0"/>
                <w:szCs w:val="28"/>
                <w:lang w:val="ru-RU" w:eastAsia="en-US" w:bidi="ar-SA"/>
              </w:rPr>
              <w:t xml:space="preserve">на странице Министерства на официальном сайте исполнительных органов Камчатского края в информационно-телекоммуникационной сети «Интернет» www.kamgov.ru/minzkh </w:t>
            </w:r>
            <w:r>
              <w:rPr>
                <w:kern w:val="0"/>
                <w:szCs w:val="28"/>
                <w:lang w:val="ru-RU" w:bidi="ar-SA"/>
              </w:rPr>
              <w:t>в разделе «Текущая деятельность» (вкладка «Отбор на предоставление субсидий», ссылка</w:t>
            </w:r>
          </w:p>
          <w:p>
            <w:pPr>
              <w:pStyle w:val="Normal"/>
              <w:widowControl w:val="false"/>
              <w:suppressAutoHyphens w:val="true"/>
              <w:spacing w:before="0" w:after="0"/>
              <w:ind w:hanging="0"/>
              <w:jc w:val="both"/>
              <w:rPr>
                <w:szCs w:val="28"/>
              </w:rPr>
            </w:pPr>
            <w:hyperlink r:id="rId3">
              <w:r>
                <w:rPr>
                  <w:rStyle w:val="Style15"/>
                  <w:kern w:val="0"/>
                  <w:szCs w:val="28"/>
                  <w:lang w:val="ru-RU" w:bidi="ar-SA"/>
                </w:rPr>
                <w:t>https://www.kamgov.ru/minzkh/current_activities/test/otbor_na_predstovlenie_subsidii</w:t>
              </w:r>
            </w:hyperlink>
            <w:r>
              <w:rPr>
                <w:kern w:val="0"/>
                <w:szCs w:val="28"/>
                <w:lang w:val="ru-RU" w:bidi="ar-SA"/>
              </w:rPr>
              <w:t>)</w:t>
            </w:r>
          </w:p>
          <w:p>
            <w:pPr>
              <w:pStyle w:val="Normal"/>
              <w:widowControl w:val="false"/>
              <w:suppressAutoHyphens w:val="true"/>
              <w:spacing w:before="0" w:after="0"/>
              <w:ind w:hanging="0"/>
              <w:jc w:val="both"/>
              <w:rPr>
                <w:szCs w:val="28"/>
              </w:rPr>
            </w:pPr>
            <w:r>
              <w:rPr>
                <w:szCs w:val="28"/>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6.</w:t>
            </w:r>
          </w:p>
        </w:tc>
        <w:tc>
          <w:tcPr>
            <w:tcW w:w="2414"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Категория и требования, которым должны соответствовать участники отбора </w:t>
            </w:r>
          </w:p>
        </w:tc>
        <w:tc>
          <w:tcPr>
            <w:tcW w:w="6515" w:type="dxa"/>
            <w:tcBorders/>
          </w:tcPr>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К категории получателей субсидии относятся следующие исполнители коммунальных услуг:</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1) управляющие организации, товарищества собственников недвижимости, в том числе товарищества собственников жилья, жилищные кооперативы, иные специализированные потребительские кооперативы, поставляющие услуги по отоплению гражданам, являющимся собственниками и нанимателями помещений в многоквартирном доме и индивидуальном жилищном фонде;</w:t>
            </w:r>
          </w:p>
          <w:p>
            <w:pPr>
              <w:pStyle w:val="Normal"/>
              <w:widowControl w:val="false"/>
              <w:suppressAutoHyphens w:val="true"/>
              <w:spacing w:before="0" w:after="0"/>
              <w:ind w:firstLine="601"/>
              <w:jc w:val="both"/>
              <w:rPr>
                <w:rFonts w:eastAsia="Calibri"/>
                <w:szCs w:val="28"/>
                <w:lang w:eastAsia="en-US"/>
              </w:rPr>
            </w:pPr>
            <w:bookmarkStart w:id="0" w:name="Par2"/>
            <w:bookmarkEnd w:id="0"/>
            <w:r>
              <w:rPr>
                <w:rFonts w:eastAsia="Calibri" w:eastAsiaTheme="minorHAnsi"/>
                <w:kern w:val="0"/>
                <w:szCs w:val="28"/>
                <w:lang w:val="ru-RU" w:eastAsia="en-US" w:bidi="ar-SA"/>
              </w:rPr>
              <w:t>2) ресурсоснабжающие организации, поставляющие тепловую энергию для предоставления услуг по отоплению гражданам.</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Требования, предъявляемые к участникам отбора:</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1) соответствие участника отбора на первое число месяца, в котором он подал в Министерство заявку, следующим требованиям:</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а)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б) участник отбора не получает средства из краевого бюджета на основании иных нормативных правовых актов Камчатского края на цели, предусмотренные настоящим Порядком;</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в) участник отбора не находится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участника отбора;</w:t>
            </w:r>
          </w:p>
          <w:p>
            <w:pPr>
              <w:pStyle w:val="Normal"/>
              <w:widowControl w:val="false"/>
              <w:suppressAutoHyphens w:val="true"/>
              <w:spacing w:before="0" w:after="0"/>
              <w:ind w:firstLine="601"/>
              <w:jc w:val="both"/>
              <w:rPr>
                <w:szCs w:val="28"/>
              </w:rPr>
            </w:pPr>
            <w:r>
              <w:rPr>
                <w:rFonts w:eastAsia="Calibri" w:eastAsiaTheme="minorHAnsi"/>
                <w:kern w:val="0"/>
                <w:szCs w:val="28"/>
                <w:lang w:val="ru-RU" w:eastAsia="en-US" w:bidi="ar-SA"/>
              </w:rPr>
              <w:t xml:space="preserve">2) установление для участника отбора, указанного в </w:t>
            </w:r>
            <w:hyperlink w:anchor="Par2">
              <w:r>
                <w:rPr>
                  <w:rFonts w:eastAsia="Calibri" w:eastAsiaTheme="minorHAnsi"/>
                  <w:kern w:val="0"/>
                  <w:szCs w:val="28"/>
                  <w:lang w:val="ru-RU" w:eastAsia="en-US" w:bidi="ar-SA"/>
                </w:rPr>
                <w:t>пункте 2 части 7</w:t>
              </w:r>
            </w:hyperlink>
            <w:r>
              <w:rPr>
                <w:rFonts w:eastAsia="Calibri" w:eastAsiaTheme="minorHAnsi"/>
                <w:kern w:val="0"/>
                <w:szCs w:val="28"/>
                <w:lang w:val="ru-RU" w:eastAsia="en-US" w:bidi="ar-SA"/>
              </w:rPr>
              <w:t xml:space="preserve"> Порядка, на текущий год цен (тарифов) на услуги теплоснабжения Региональной службой по тарифам и ценам Камчатского края.</w:t>
            </w:r>
          </w:p>
          <w:p>
            <w:pPr>
              <w:pStyle w:val="Normal"/>
              <w:widowControl w:val="false"/>
              <w:suppressAutoHyphens w:val="true"/>
              <w:spacing w:before="0" w:after="0"/>
              <w:ind w:firstLine="601"/>
              <w:jc w:val="both"/>
              <w:rPr>
                <w:szCs w:val="28"/>
              </w:rPr>
            </w:pPr>
            <w:r>
              <w:rPr>
                <w:szCs w:val="28"/>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7.</w:t>
            </w:r>
          </w:p>
        </w:tc>
        <w:tc>
          <w:tcPr>
            <w:tcW w:w="2414"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Документы, которые необходимо предоставить для участия в отборе </w:t>
            </w:r>
          </w:p>
        </w:tc>
        <w:tc>
          <w:tcPr>
            <w:tcW w:w="6515" w:type="dxa"/>
            <w:tcBorders/>
          </w:tcPr>
          <w:p>
            <w:pPr>
              <w:pStyle w:val="ConsPlusNormal1"/>
              <w:widowControl w:val="false"/>
              <w:suppressAutoHyphens w:val="true"/>
              <w:spacing w:before="0" w:after="0"/>
              <w:ind w:firstLine="601"/>
              <w:jc w:val="both"/>
              <w:rPr>
                <w:rFonts w:ascii="Times New Roman" w:hAnsi="Times New Roman" w:cs="Times New Roman"/>
                <w:sz w:val="28"/>
                <w:szCs w:val="28"/>
              </w:rPr>
            </w:pPr>
            <w:r>
              <w:rPr>
                <w:rFonts w:cs="Times New Roman" w:ascii="Times New Roman" w:hAnsi="Times New Roman"/>
                <w:kern w:val="0"/>
                <w:sz w:val="28"/>
                <w:szCs w:val="28"/>
                <w:lang w:val="ru-RU" w:bidi="ar-SA"/>
              </w:rPr>
              <w:t>Заявка оформляется по форме, утвержденной Министерством (приказ Министерства от 27.01.2022 № 20-13), и должна содержать:</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1) следующие сведения об участнике отбора, подавшем заявку:</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б) согласие на размещение информации на едином портале и официальном сайте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2) следующие документы:</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а)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 xml:space="preserve">б) справку, подписанную руководителем участника отбора, подтверждающую, что участник отбора соответствует условиям, установленным </w:t>
            </w:r>
            <w:hyperlink r:id="rId4">
              <w:r>
                <w:rPr>
                  <w:rFonts w:eastAsia="Calibri" w:eastAsiaTheme="minorHAnsi"/>
                  <w:kern w:val="0"/>
                  <w:szCs w:val="28"/>
                  <w:lang w:val="ru-RU" w:eastAsia="en-US" w:bidi="ar-SA"/>
                </w:rPr>
                <w:t>пунктом 1 части 8</w:t>
              </w:r>
            </w:hyperlink>
            <w:r>
              <w:rPr>
                <w:rFonts w:eastAsia="Calibri" w:eastAsiaTheme="minorHAnsi"/>
                <w:kern w:val="0"/>
                <w:szCs w:val="28"/>
                <w:lang w:val="ru-RU" w:eastAsia="en-US" w:bidi="ar-SA"/>
              </w:rPr>
              <w:t xml:space="preserve"> Порядка;</w:t>
            </w:r>
          </w:p>
          <w:p>
            <w:pPr>
              <w:pStyle w:val="Normal"/>
              <w:widowControl w:val="false"/>
              <w:suppressAutoHyphens w:val="true"/>
              <w:spacing w:before="0" w:after="0"/>
              <w:ind w:firstLine="540"/>
              <w:jc w:val="both"/>
              <w:rPr>
                <w:szCs w:val="28"/>
              </w:rPr>
            </w:pPr>
            <w:r>
              <w:rPr>
                <w:rFonts w:eastAsia="Calibri" w:eastAsiaTheme="minorHAnsi"/>
                <w:kern w:val="0"/>
                <w:szCs w:val="28"/>
                <w:lang w:val="ru-RU" w:eastAsia="en-US" w:bidi="ar-SA"/>
              </w:rPr>
              <w:t xml:space="preserve">в) справку-расчет, подписанную руководителем участника отбора (или замещающим его лицом), содержащую обоснование заявленной суммы субсидии, </w:t>
            </w:r>
            <w:r>
              <w:rPr>
                <w:rFonts w:eastAsia="Calibri" w:cs="Times New Roman" w:eastAsiaTheme="minorHAnsi"/>
                <w:kern w:val="0"/>
                <w:sz w:val="28"/>
                <w:szCs w:val="28"/>
                <w:lang w:val="ru-RU" w:eastAsia="en-US" w:bidi="ar-SA"/>
              </w:rPr>
              <w:t>по форме, утвержденной Министерством (приказ Министерства от 10.01.2023 № 20-4)</w:t>
            </w:r>
            <w:r>
              <w:rPr>
                <w:kern w:val="0"/>
                <w:szCs w:val="28"/>
                <w:lang w:val="ru-RU" w:bidi="ar-SA"/>
              </w:rPr>
              <w:t xml:space="preserve"> </w:t>
            </w:r>
          </w:p>
          <w:p>
            <w:pPr>
              <w:pStyle w:val="Normal"/>
              <w:widowControl w:val="false"/>
              <w:suppressAutoHyphens w:val="true"/>
              <w:spacing w:before="0" w:after="0"/>
              <w:ind w:firstLine="540"/>
              <w:jc w:val="both"/>
              <w:rPr>
                <w:szCs w:val="28"/>
              </w:rPr>
            </w:pPr>
            <w:r>
              <w:rPr>
                <w:szCs w:val="28"/>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8.</w:t>
            </w:r>
          </w:p>
        </w:tc>
        <w:tc>
          <w:tcPr>
            <w:tcW w:w="2414"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Заявка на участие в отборе предоставляется в порядке и по форме, установленной Министерством</w:t>
            </w:r>
          </w:p>
        </w:tc>
        <w:tc>
          <w:tcPr>
            <w:tcW w:w="6515" w:type="dxa"/>
            <w:tcBorders/>
          </w:tcPr>
          <w:p>
            <w:pPr>
              <w:pStyle w:val="Normal"/>
              <w:widowControl w:val="false"/>
              <w:tabs>
                <w:tab w:val="clear" w:pos="708"/>
                <w:tab w:val="left" w:pos="851" w:leader="none"/>
              </w:tabs>
              <w:suppressAutoHyphens w:val="true"/>
              <w:spacing w:before="0" w:after="0"/>
              <w:ind w:firstLine="601"/>
              <w:jc w:val="both"/>
              <w:rPr>
                <w:szCs w:val="28"/>
              </w:rPr>
            </w:pPr>
            <w:r>
              <w:rPr>
                <w:kern w:val="0"/>
                <w:szCs w:val="28"/>
                <w:lang w:val="ru-RU" w:bidi="ar-SA"/>
              </w:rPr>
              <w:t xml:space="preserve">Заявка должна соответствовать форме, утвержденной приказом Министерства от 27.01.2022 № 20-13 (ссылка  </w:t>
            </w:r>
          </w:p>
          <w:p>
            <w:pPr>
              <w:pStyle w:val="Normal"/>
              <w:widowControl w:val="false"/>
              <w:tabs>
                <w:tab w:val="clear" w:pos="708"/>
                <w:tab w:val="left" w:pos="851" w:leader="none"/>
              </w:tabs>
              <w:suppressAutoHyphens w:val="true"/>
              <w:spacing w:before="0" w:after="0"/>
              <w:ind w:hanging="0"/>
              <w:jc w:val="both"/>
              <w:rPr>
                <w:szCs w:val="28"/>
              </w:rPr>
            </w:pPr>
            <w:hyperlink r:id="rId5">
              <w:r>
                <w:rPr>
                  <w:rStyle w:val="Style15"/>
                  <w:kern w:val="0"/>
                  <w:szCs w:val="28"/>
                  <w:lang w:val="ru-RU" w:bidi="ar-SA"/>
                </w:rPr>
                <w:t>https://minzkh.kamgov.ru/current_activities/test/otbor_na_predstovlenie_subsidii/normativnye-dokumenty</w:t>
              </w:r>
            </w:hyperlink>
            <w:r>
              <w:rPr>
                <w:kern w:val="0"/>
                <w:szCs w:val="28"/>
                <w:lang w:val="ru-RU" w:bidi="ar-SA"/>
              </w:rPr>
              <w:t xml:space="preserve">) </w:t>
            </w:r>
          </w:p>
          <w:p>
            <w:pPr>
              <w:pStyle w:val="Normal"/>
              <w:widowControl w:val="false"/>
              <w:tabs>
                <w:tab w:val="clear" w:pos="708"/>
                <w:tab w:val="left" w:pos="851" w:leader="none"/>
              </w:tabs>
              <w:suppressAutoHyphens w:val="true"/>
              <w:spacing w:before="0" w:after="0"/>
              <w:ind w:hanging="0"/>
              <w:jc w:val="both"/>
              <w:rPr>
                <w:szCs w:val="28"/>
              </w:rPr>
            </w:pPr>
            <w:r>
              <w:rPr>
                <w:szCs w:val="28"/>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9.</w:t>
            </w:r>
          </w:p>
        </w:tc>
        <w:tc>
          <w:tcPr>
            <w:tcW w:w="2414"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отзыва заявки участником отбора </w:t>
            </w:r>
          </w:p>
        </w:tc>
        <w:tc>
          <w:tcPr>
            <w:tcW w:w="6515" w:type="dxa"/>
            <w:tcBorders/>
          </w:tcPr>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w:t>
            </w:r>
          </w:p>
          <w:p>
            <w:pPr>
              <w:pStyle w:val="Normal"/>
              <w:widowControl w:val="false"/>
              <w:suppressAutoHyphens w:val="true"/>
              <w:spacing w:before="0" w:after="0"/>
              <w:ind w:firstLine="601"/>
              <w:jc w:val="both"/>
              <w:rPr>
                <w:rFonts w:eastAsia="Calibri"/>
                <w:szCs w:val="28"/>
                <w:lang w:eastAsia="en-US"/>
              </w:rPr>
            </w:pPr>
            <w:r>
              <w:rPr>
                <w:rFonts w:eastAsia="Calibri"/>
                <w:szCs w:val="28"/>
                <w:lang w:eastAsia="en-US"/>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10.</w:t>
            </w:r>
          </w:p>
        </w:tc>
        <w:tc>
          <w:tcPr>
            <w:tcW w:w="2414"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уведомления участников отбора об отклонении заявок </w:t>
            </w:r>
          </w:p>
        </w:tc>
        <w:tc>
          <w:tcPr>
            <w:tcW w:w="6515" w:type="dxa"/>
            <w:tcBorders/>
          </w:tcPr>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 xml:space="preserve">В случае отклонения заявки (заявок) Министерство в течение 5 рабочих дней после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w:t>
            </w:r>
            <w:hyperlink r:id="rId6">
              <w:r>
                <w:rPr>
                  <w:rFonts w:eastAsia="Calibri" w:eastAsiaTheme="minorHAnsi"/>
                  <w:kern w:val="0"/>
                  <w:szCs w:val="28"/>
                  <w:lang w:val="ru-RU" w:eastAsia="en-US" w:bidi="ar-SA"/>
                </w:rPr>
                <w:t>частью 23</w:t>
              </w:r>
            </w:hyperlink>
            <w:r>
              <w:rPr>
                <w:rFonts w:eastAsia="Calibri" w:eastAsiaTheme="minorHAnsi"/>
                <w:kern w:val="0"/>
                <w:szCs w:val="28"/>
                <w:lang w:val="ru-RU" w:eastAsia="en-US" w:bidi="ar-SA"/>
              </w:rPr>
              <w:t xml:space="preserve"> Порядка.</w:t>
            </w:r>
          </w:p>
          <w:p>
            <w:pPr>
              <w:pStyle w:val="Normal"/>
              <w:widowControl w:val="false"/>
              <w:suppressAutoHyphens w:val="true"/>
              <w:spacing w:before="0" w:after="0"/>
              <w:ind w:firstLine="601"/>
              <w:jc w:val="both"/>
              <w:rPr>
                <w:rFonts w:eastAsia="Calibri"/>
                <w:szCs w:val="28"/>
                <w:lang w:eastAsia="en-US"/>
              </w:rPr>
            </w:pPr>
            <w:r>
              <w:rPr>
                <w:rFonts w:eastAsia="Calibri"/>
                <w:szCs w:val="28"/>
                <w:lang w:eastAsia="en-US"/>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11.</w:t>
            </w:r>
          </w:p>
        </w:tc>
        <w:tc>
          <w:tcPr>
            <w:tcW w:w="2414"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внесения изменений в заявки </w:t>
            </w:r>
          </w:p>
        </w:tc>
        <w:tc>
          <w:tcPr>
            <w:tcW w:w="6515" w:type="dxa"/>
            <w:tcBorders/>
          </w:tcPr>
          <w:p>
            <w:pPr>
              <w:pStyle w:val="Normal"/>
              <w:widowControl w:val="false"/>
              <w:suppressAutoHyphens w:val="true"/>
              <w:spacing w:before="0" w:after="0"/>
              <w:jc w:val="both"/>
              <w:rPr>
                <w:szCs w:val="28"/>
              </w:rPr>
            </w:pPr>
            <w:r>
              <w:rPr>
                <w:kern w:val="0"/>
                <w:szCs w:val="28"/>
                <w:lang w:val="ru-RU" w:bidi="ar-SA"/>
              </w:rPr>
              <w:t>Внесение изменений в заявку осуществляется путем направления необходимых сведений в Министерство.</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12.</w:t>
            </w:r>
          </w:p>
        </w:tc>
        <w:tc>
          <w:tcPr>
            <w:tcW w:w="2414"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Правила рассмотрения и оценки заявок </w:t>
            </w:r>
          </w:p>
        </w:tc>
        <w:tc>
          <w:tcPr>
            <w:tcW w:w="6515" w:type="dxa"/>
            <w:tcBorders/>
          </w:tcPr>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 xml:space="preserve">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w:t>
            </w:r>
            <w:hyperlink r:id="rId7">
              <w:r>
                <w:rPr>
                  <w:rFonts w:eastAsia="Calibri" w:eastAsiaTheme="minorHAnsi"/>
                  <w:kern w:val="0"/>
                  <w:szCs w:val="28"/>
                  <w:lang w:val="ru-RU" w:eastAsia="en-US" w:bidi="ar-SA"/>
                </w:rPr>
                <w:t>частью 9</w:t>
              </w:r>
            </w:hyperlink>
            <w:r>
              <w:rPr>
                <w:rFonts w:eastAsia="Calibri" w:eastAsiaTheme="minorHAnsi"/>
                <w:kern w:val="0"/>
                <w:szCs w:val="28"/>
                <w:lang w:val="ru-RU" w:eastAsia="en-US" w:bidi="ar-SA"/>
              </w:rPr>
              <w:t xml:space="preserve"> Порядка, а участник (участники) отбора при этом соответствует (соответствуют) категории и требованиям, установленным </w:t>
            </w:r>
            <w:hyperlink r:id="rId8">
              <w:r>
                <w:rPr>
                  <w:rFonts w:eastAsia="Calibri" w:eastAsiaTheme="minorHAnsi"/>
                  <w:kern w:val="0"/>
                  <w:szCs w:val="28"/>
                  <w:lang w:val="ru-RU" w:eastAsia="en-US" w:bidi="ar-SA"/>
                </w:rPr>
                <w:t>частями 7</w:t>
              </w:r>
            </w:hyperlink>
            <w:r>
              <w:rPr>
                <w:rFonts w:eastAsia="Calibri" w:eastAsiaTheme="minorHAnsi"/>
                <w:kern w:val="0"/>
                <w:szCs w:val="28"/>
                <w:lang w:val="ru-RU" w:eastAsia="en-US" w:bidi="ar-SA"/>
              </w:rPr>
              <w:t xml:space="preserve"> и </w:t>
            </w:r>
            <w:hyperlink r:id="rId9">
              <w:r>
                <w:rPr>
                  <w:rFonts w:eastAsia="Calibri" w:eastAsiaTheme="minorHAnsi"/>
                  <w:kern w:val="0"/>
                  <w:szCs w:val="28"/>
                  <w:lang w:val="ru-RU" w:eastAsia="en-US" w:bidi="ar-SA"/>
                </w:rPr>
                <w:t>8</w:t>
              </w:r>
            </w:hyperlink>
            <w:r>
              <w:rPr>
                <w:rFonts w:eastAsia="Calibri" w:eastAsiaTheme="minorHAnsi"/>
                <w:kern w:val="0"/>
                <w:szCs w:val="28"/>
                <w:lang w:val="ru-RU" w:eastAsia="en-US" w:bidi="ar-SA"/>
              </w:rPr>
              <w:t xml:space="preserve"> Порядка.</w:t>
            </w:r>
          </w:p>
          <w:p>
            <w:pPr>
              <w:pStyle w:val="Normal"/>
              <w:widowControl w:val="false"/>
              <w:suppressAutoHyphens w:val="true"/>
              <w:spacing w:before="0" w:after="0"/>
              <w:jc w:val="both"/>
              <w:rPr>
                <w:rFonts w:eastAsia="Calibri"/>
                <w:szCs w:val="28"/>
                <w:lang w:eastAsia="en-US"/>
              </w:rPr>
            </w:pPr>
            <w:r>
              <w:rPr>
                <w:rFonts w:eastAsia="Calibri"/>
                <w:szCs w:val="28"/>
                <w:lang w:eastAsia="en-US"/>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13.</w:t>
            </w:r>
          </w:p>
        </w:tc>
        <w:tc>
          <w:tcPr>
            <w:tcW w:w="2414"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tc>
        <w:tc>
          <w:tcPr>
            <w:tcW w:w="6515" w:type="dxa"/>
            <w:tcBorders/>
          </w:tcPr>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Министерство в течение 3 рабочих дней после дня поступления запроса обязано направить разъяснения положений объявления на адрес электронной почты, указанный в запросе. Разъяснения положений объявления по отбору не должны изменять их сути.</w:t>
            </w:r>
          </w:p>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Запросы, поступившие позднее, чем за 5 рабочих дней до даты окончания срока подачи заявок, не подлежат рассмотрению Министерством, о чем Министерство уведомляет лицо, направившее запрос.</w:t>
            </w:r>
          </w:p>
          <w:p>
            <w:pPr>
              <w:pStyle w:val="ConsPlusNormal1"/>
              <w:widowControl w:val="false"/>
              <w:suppressAutoHyphens w:val="true"/>
              <w:spacing w:before="0" w:after="0"/>
              <w:ind w:hanging="0"/>
              <w:jc w:val="both"/>
              <w:rPr>
                <w:szCs w:val="28"/>
              </w:rPr>
            </w:pPr>
            <w:r>
              <w:rPr>
                <w:szCs w:val="28"/>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14.</w:t>
            </w:r>
          </w:p>
        </w:tc>
        <w:tc>
          <w:tcPr>
            <w:tcW w:w="2414"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Сроки подписания победителем (победителями) отбора соглашения о предоставлении субсидии (далее – соглашение) </w:t>
            </w:r>
          </w:p>
        </w:tc>
        <w:tc>
          <w:tcPr>
            <w:tcW w:w="6515" w:type="dxa"/>
            <w:tcBorders/>
          </w:tcPr>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Министерство в течение 3 календарных дней после дня размещения на едином портале и на официальном сайте информации о результатах отбора, направляет победителю отбора проект соглашения в двух экземплярах.</w:t>
            </w:r>
          </w:p>
          <w:p>
            <w:pPr>
              <w:pStyle w:val="Normal"/>
              <w:widowControl w:val="false"/>
              <w:suppressAutoHyphens w:val="true"/>
              <w:spacing w:before="0" w:after="0"/>
              <w:ind w:firstLine="601"/>
              <w:jc w:val="both"/>
              <w:rPr>
                <w:szCs w:val="28"/>
              </w:rPr>
            </w:pPr>
            <w:r>
              <w:rPr>
                <w:rFonts w:eastAsia="Calibri" w:eastAsiaTheme="minorHAnsi"/>
                <w:kern w:val="0"/>
                <w:szCs w:val="28"/>
                <w:lang w:val="ru-RU" w:eastAsia="en-US" w:bidi="ar-SA"/>
              </w:rPr>
              <w:t>Победитель отбора в течение 5 рабочих дней после дня получения проекта соглашения подписывает его и возвращает в Министерство два экземпляра проекта соглашения.</w:t>
            </w:r>
          </w:p>
          <w:p>
            <w:pPr>
              <w:pStyle w:val="Normal"/>
              <w:widowControl w:val="false"/>
              <w:suppressAutoHyphens w:val="true"/>
              <w:spacing w:before="0" w:after="0"/>
              <w:ind w:firstLine="601"/>
              <w:jc w:val="both"/>
              <w:rPr>
                <w:szCs w:val="28"/>
              </w:rPr>
            </w:pPr>
            <w:r>
              <w:rPr>
                <w:szCs w:val="28"/>
              </w:rPr>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15.</w:t>
            </w:r>
          </w:p>
        </w:tc>
        <w:tc>
          <w:tcPr>
            <w:tcW w:w="2414"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Условия признания победителя (победителей) отбора уклонившимся (уклонившимися) от заключения соглашения </w:t>
            </w:r>
          </w:p>
        </w:tc>
        <w:tc>
          <w:tcPr>
            <w:tcW w:w="6515" w:type="dxa"/>
            <w:tcBorders/>
          </w:tcPr>
          <w:p>
            <w:pPr>
              <w:pStyle w:val="Normal"/>
              <w:widowControl w:val="false"/>
              <w:suppressAutoHyphens w:val="true"/>
              <w:spacing w:before="0" w:after="0"/>
              <w:ind w:firstLine="601"/>
              <w:jc w:val="both"/>
              <w:rPr>
                <w:rFonts w:eastAsia="Calibri"/>
                <w:szCs w:val="28"/>
                <w:lang w:eastAsia="en-US"/>
              </w:rPr>
            </w:pPr>
            <w:r>
              <w:rPr>
                <w:rFonts w:eastAsia="Calibri" w:eastAsiaTheme="minorHAnsi"/>
                <w:kern w:val="0"/>
                <w:szCs w:val="28"/>
                <w:lang w:val="ru-RU" w:eastAsia="en-US" w:bidi="ar-SA"/>
              </w:rPr>
              <w:t xml:space="preserve">В случае нарушения победителем отбора порядка подписания соглашения, установленного </w:t>
            </w:r>
            <w:hyperlink r:id="rId10">
              <w:r>
                <w:rPr>
                  <w:rFonts w:eastAsia="Calibri" w:eastAsiaTheme="minorHAnsi"/>
                  <w:kern w:val="0"/>
                  <w:szCs w:val="28"/>
                  <w:lang w:val="ru-RU" w:eastAsia="en-US" w:bidi="ar-SA"/>
                </w:rPr>
                <w:t>частью 27</w:t>
              </w:r>
            </w:hyperlink>
            <w:r>
              <w:rPr>
                <w:rFonts w:eastAsia="Calibri" w:eastAsiaTheme="minorHAnsi"/>
                <w:kern w:val="0"/>
                <w:szCs w:val="28"/>
                <w:lang w:val="ru-RU" w:eastAsia="en-US" w:bidi="ar-SA"/>
              </w:rPr>
              <w:t xml:space="preserve"> Порядка, или в случае наличия недостоверных сведений в проекте соглашения победитель отбора признается уклонившимся от заключения соглашения.</w:t>
            </w:r>
          </w:p>
        </w:tc>
      </w:tr>
      <w:tr>
        <w:trPr/>
        <w:tc>
          <w:tcPr>
            <w:tcW w:w="703"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16.</w:t>
            </w:r>
          </w:p>
        </w:tc>
        <w:tc>
          <w:tcPr>
            <w:tcW w:w="2414"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Дата размещения результатов отбора на едином портале и на официальном сайте Министерства </w:t>
            </w:r>
          </w:p>
        </w:tc>
        <w:tc>
          <w:tcPr>
            <w:tcW w:w="6515" w:type="dxa"/>
            <w:tcBorders/>
          </w:tcPr>
          <w:p>
            <w:pPr>
              <w:pStyle w:val="Normal"/>
              <w:widowControl w:val="false"/>
              <w:suppressAutoHyphens w:val="true"/>
              <w:spacing w:before="0" w:after="0"/>
              <w:ind w:firstLine="605"/>
              <w:jc w:val="both"/>
              <w:rPr>
                <w:rFonts w:eastAsia="Calibri"/>
                <w:szCs w:val="28"/>
                <w:lang w:eastAsia="en-US"/>
              </w:rPr>
            </w:pPr>
            <w:r>
              <w:rPr>
                <w:kern w:val="0"/>
                <w:szCs w:val="28"/>
                <w:lang w:val="ru-RU" w:bidi="ar-SA"/>
              </w:rPr>
              <w:t xml:space="preserve">Министерство в срок не позднее </w:t>
            </w:r>
            <w:r>
              <w:rPr>
                <w:kern w:val="0"/>
                <w:szCs w:val="28"/>
                <w:lang w:val="ru-RU" w:bidi="ar-SA"/>
              </w:rPr>
              <w:t>22</w:t>
            </w:r>
            <w:r>
              <w:rPr>
                <w:kern w:val="0"/>
                <w:szCs w:val="28"/>
                <w:lang w:val="ru-RU" w:bidi="ar-SA"/>
              </w:rPr>
              <w:t>.02.2024 (</w:t>
            </w:r>
            <w:r>
              <w:rPr>
                <w:rFonts w:eastAsia="Calibri" w:eastAsiaTheme="minorHAnsi"/>
                <w:kern w:val="0"/>
                <w:szCs w:val="28"/>
                <w:lang w:val="ru-RU" w:eastAsia="en-US" w:bidi="ar-SA"/>
              </w:rPr>
              <w:t>в срок не позднее 14 календарных дней после дня завершения отбора)</w:t>
            </w:r>
            <w:r>
              <w:rPr>
                <w:kern w:val="0"/>
                <w:szCs w:val="28"/>
                <w:lang w:val="ru-RU" w:bidi="ar-SA"/>
              </w:rPr>
              <w:t xml:space="preserve"> размещает на едином портале и на официальном сайте Министерства  </w:t>
            </w:r>
          </w:p>
          <w:p>
            <w:pPr>
              <w:pStyle w:val="Normal"/>
              <w:widowControl w:val="false"/>
              <w:suppressAutoHyphens w:val="true"/>
              <w:spacing w:before="0" w:after="0"/>
              <w:ind w:hanging="0"/>
              <w:jc w:val="both"/>
              <w:rPr>
                <w:rFonts w:eastAsia="Calibri"/>
                <w:szCs w:val="28"/>
                <w:lang w:eastAsia="en-US"/>
              </w:rPr>
            </w:pPr>
            <w:r>
              <w:rPr>
                <w:kern w:val="0"/>
                <w:szCs w:val="28"/>
                <w:lang w:val="ru-RU" w:bidi="ar-SA"/>
              </w:rPr>
              <w:t>(</w:t>
            </w:r>
            <w:hyperlink r:id="rId11">
              <w:r>
                <w:rPr>
                  <w:rStyle w:val="Style15"/>
                  <w:kern w:val="0"/>
                  <w:szCs w:val="28"/>
                  <w:lang w:val="ru-RU" w:bidi="ar-SA"/>
                </w:rPr>
                <w:t>https://minzkh.kamgov.ru/rezultat-provedenia-otbora</w:t>
              </w:r>
            </w:hyperlink>
            <w:r>
              <w:rPr>
                <w:kern w:val="0"/>
                <w:szCs w:val="28"/>
                <w:lang w:val="ru-RU" w:bidi="ar-SA"/>
              </w:rPr>
              <w:t>) информацию о результатах отбора, включающую:</w:t>
            </w:r>
          </w:p>
          <w:p>
            <w:pPr>
              <w:pStyle w:val="Normal"/>
              <w:widowControl w:val="false"/>
              <w:suppressAutoHyphens w:val="true"/>
              <w:spacing w:before="0" w:after="0"/>
              <w:ind w:firstLine="594"/>
              <w:jc w:val="both"/>
              <w:rPr>
                <w:rFonts w:eastAsia="Calibri"/>
                <w:szCs w:val="28"/>
                <w:lang w:eastAsia="en-US"/>
              </w:rPr>
            </w:pPr>
            <w:r>
              <w:rPr>
                <w:rFonts w:eastAsia="Calibri" w:eastAsiaTheme="minorHAnsi"/>
                <w:kern w:val="0"/>
                <w:szCs w:val="28"/>
                <w:lang w:val="ru-RU" w:eastAsia="en-US" w:bidi="ar-SA"/>
              </w:rPr>
              <w:t>1) дату, время и место проведения рассмотрения заявок;</w:t>
            </w:r>
          </w:p>
          <w:p>
            <w:pPr>
              <w:pStyle w:val="Normal"/>
              <w:widowControl w:val="false"/>
              <w:suppressAutoHyphens w:val="true"/>
              <w:spacing w:before="0" w:after="0"/>
              <w:ind w:firstLine="594"/>
              <w:jc w:val="both"/>
              <w:rPr>
                <w:rFonts w:eastAsia="Calibri"/>
                <w:szCs w:val="28"/>
                <w:lang w:eastAsia="en-US"/>
              </w:rPr>
            </w:pPr>
            <w:r>
              <w:rPr>
                <w:rFonts w:eastAsia="Calibri" w:eastAsiaTheme="minorHAnsi"/>
                <w:kern w:val="0"/>
                <w:szCs w:val="28"/>
                <w:lang w:val="ru-RU" w:eastAsia="en-US" w:bidi="ar-SA"/>
              </w:rPr>
              <w:t>2) информацию об участниках отбора, заявки которых были рассмотрены;</w:t>
            </w:r>
          </w:p>
          <w:p>
            <w:pPr>
              <w:pStyle w:val="Normal"/>
              <w:widowControl w:val="false"/>
              <w:suppressAutoHyphens w:val="true"/>
              <w:spacing w:before="0" w:after="0"/>
              <w:ind w:firstLine="594"/>
              <w:jc w:val="both"/>
              <w:rPr>
                <w:rFonts w:eastAsia="Calibri"/>
                <w:szCs w:val="28"/>
                <w:lang w:eastAsia="en-US"/>
              </w:rPr>
            </w:pPr>
            <w:r>
              <w:rPr>
                <w:rFonts w:eastAsia="Calibri" w:eastAsiaTheme="minorHAnsi"/>
                <w:kern w:val="0"/>
                <w:szCs w:val="28"/>
                <w:lang w:val="ru-RU" w:eastAsia="en-US" w:bidi="ar-SA"/>
              </w:rPr>
              <w:t>3)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4) наименование получателя (получателей) субсидии, с которым заключается соглашение, и размер предоставляемой ему (им) субсидии.</w:t>
            </w:r>
          </w:p>
          <w:p>
            <w:pPr>
              <w:pStyle w:val="Normal"/>
              <w:widowControl w:val="false"/>
              <w:suppressAutoHyphens w:val="true"/>
              <w:spacing w:before="0" w:after="0"/>
              <w:ind w:firstLine="540"/>
              <w:jc w:val="both"/>
              <w:rPr>
                <w:rFonts w:eastAsia="Calibri"/>
                <w:szCs w:val="28"/>
                <w:lang w:eastAsia="en-US"/>
              </w:rPr>
            </w:pPr>
            <w:r>
              <w:rPr>
                <w:rFonts w:eastAsia="Calibri"/>
                <w:szCs w:val="28"/>
                <w:lang w:eastAsia="en-US"/>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4"/>
          <w:szCs w:val="22"/>
        </w:rPr>
      </w:pPr>
      <w:r>
        <w:rPr>
          <w:sz w:val="24"/>
          <w:szCs w:val="22"/>
        </w:rPr>
        <w:t>Исп.</w:t>
      </w:r>
      <w:r>
        <w:rPr>
          <w:sz w:val="24"/>
          <w:szCs w:val="22"/>
        </w:rPr>
        <w:t xml:space="preserve"> Раздьяконова Ольга Юрьевна, тел. 42-03-05</w:t>
      </w:r>
    </w:p>
    <w:sectPr>
      <w:headerReference w:type="default" r:id="rId12"/>
      <w:type w:val="nextPage"/>
      <w:pgSz w:w="11906" w:h="16838"/>
      <w:pgMar w:left="1418" w:right="851" w:gutter="0" w:header="709" w:top="1134" w:footer="0" w:bottom="1134"/>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698412521"/>
    </w:sdtPr>
    <w:sdtContent>
      <w:p>
        <w:pPr>
          <w:pStyle w:val="Style25"/>
          <w:jc w:val="center"/>
          <w:rPr>
            <w:sz w:val="24"/>
          </w:rPr>
        </w:pPr>
        <w:r>
          <w:rPr>
            <w:sz w:val="24"/>
          </w:rPr>
          <w:fldChar w:fldCharType="begin"/>
        </w:r>
        <w:r>
          <w:rPr>
            <w:sz w:val="24"/>
          </w:rPr>
          <w:instrText xml:space="preserve"> PAGE </w:instrText>
        </w:r>
        <w:r>
          <w:rPr>
            <w:sz w:val="24"/>
          </w:rPr>
          <w:fldChar w:fldCharType="separate"/>
        </w:r>
        <w:r>
          <w:rPr>
            <w:sz w:val="24"/>
          </w:rPr>
          <w:t>7</w:t>
        </w:r>
        <w:r>
          <w:rPr>
            <w:sz w:val="24"/>
          </w:rPr>
          <w:fldChar w:fldCharType="end"/>
        </w:r>
      </w:p>
    </w:sdtContent>
  </w:sdt>
  <w:p>
    <w:pPr>
      <w:pStyle w:val="Style25"/>
      <w:rPr/>
    </w:pPr>
    <w:r>
      <w:rPr/>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6f73"/>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4"/>
      <w:lang w:val="ru-RU" w:eastAsia="ru-RU"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1"/>
    <w:qFormat/>
    <w:rsid w:val="0009029f"/>
    <w:rPr>
      <w:rFonts w:ascii="Arial" w:hAnsi="Arial" w:eastAsia="Times New Roman" w:cs="Arial"/>
      <w:sz w:val="20"/>
      <w:szCs w:val="20"/>
      <w:lang w:eastAsia="ru-RU"/>
    </w:rPr>
  </w:style>
  <w:style w:type="character" w:styleId="Style14" w:customStyle="1">
    <w:name w:val="Нижний колонтитул Знак"/>
    <w:basedOn w:val="DefaultParagraphFont"/>
    <w:uiPriority w:val="99"/>
    <w:qFormat/>
    <w:rsid w:val="00752057"/>
    <w:rPr>
      <w:rFonts w:ascii="Times New Roman" w:hAnsi="Times New Roman" w:eastAsia="Times New Roman" w:cs="Times New Roman"/>
      <w:sz w:val="28"/>
      <w:szCs w:val="28"/>
      <w:lang w:eastAsia="ru-RU"/>
    </w:rPr>
  </w:style>
  <w:style w:type="character" w:styleId="Style15">
    <w:name w:val="Hyperlink"/>
    <w:basedOn w:val="DefaultParagraphFont"/>
    <w:uiPriority w:val="99"/>
    <w:unhideWhenUsed/>
    <w:rsid w:val="00525fc9"/>
    <w:rPr>
      <w:color w:val="0563C1" w:themeColor="hyperlink"/>
      <w:u w:val="single"/>
    </w:rPr>
  </w:style>
  <w:style w:type="character" w:styleId="Style16" w:customStyle="1">
    <w:name w:val="Верхний колонтитул Знак"/>
    <w:basedOn w:val="DefaultParagraphFont"/>
    <w:uiPriority w:val="99"/>
    <w:qFormat/>
    <w:rsid w:val="005d4abe"/>
    <w:rPr>
      <w:rFonts w:ascii="Times New Roman" w:hAnsi="Times New Roman" w:eastAsia="Times New Roman" w:cs="Times New Roman"/>
      <w:sz w:val="28"/>
      <w:szCs w:val="24"/>
      <w:lang w:eastAsia="ru-RU"/>
    </w:rPr>
  </w:style>
  <w:style w:type="character" w:styleId="Style17">
    <w:name w:val="FollowedHyperlink"/>
    <w:basedOn w:val="DefaultParagraphFont"/>
    <w:uiPriority w:val="99"/>
    <w:semiHidden/>
    <w:unhideWhenUsed/>
    <w:rsid w:val="00c22fdc"/>
    <w:rPr>
      <w:color w:val="954F72" w:themeColor="followedHyperlink"/>
      <w:u w:val="single"/>
    </w:rPr>
  </w:style>
  <w:style w:type="paragraph" w:styleId="Style18">
    <w:name w:val="Заголовок"/>
    <w:basedOn w:val="Normal"/>
    <w:next w:val="Style19"/>
    <w:qFormat/>
    <w:pPr>
      <w:keepNext w:val="true"/>
      <w:spacing w:before="240" w:after="120"/>
    </w:pPr>
    <w:rPr>
      <w:rFonts w:ascii="Open Sans" w:hAnsi="Open Sans" w:eastAsia="Tahoma"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ConsPlusNormal1" w:customStyle="1">
    <w:name w:val="ConsPlusNormal"/>
    <w:link w:val="ConsPlusNormal"/>
    <w:qFormat/>
    <w:rsid w:val="0009029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df5fef"/>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23">
    <w:name w:val="Колонтитул"/>
    <w:basedOn w:val="Normal"/>
    <w:qFormat/>
    <w:pPr/>
    <w:rPr/>
  </w:style>
  <w:style w:type="paragraph" w:styleId="Style24">
    <w:name w:val="Footer"/>
    <w:basedOn w:val="Normal"/>
    <w:link w:val="Style14"/>
    <w:uiPriority w:val="99"/>
    <w:rsid w:val="00752057"/>
    <w:pPr>
      <w:tabs>
        <w:tab w:val="clear" w:pos="708"/>
        <w:tab w:val="center" w:pos="4677" w:leader="none"/>
        <w:tab w:val="right" w:pos="9355" w:leader="none"/>
      </w:tabs>
    </w:pPr>
    <w:rPr>
      <w:szCs w:val="28"/>
    </w:rPr>
  </w:style>
  <w:style w:type="paragraph" w:styleId="Style25">
    <w:name w:val="Header"/>
    <w:basedOn w:val="Normal"/>
    <w:link w:val="Style16"/>
    <w:uiPriority w:val="99"/>
    <w:unhideWhenUsed/>
    <w:rsid w:val="005d4abe"/>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36f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k1@kamgov.ru" TargetMode="External"/><Relationship Id="rId3" Type="http://schemas.openxmlformats.org/officeDocument/2006/relationships/hyperlink" Target="https://www.kamgov.ru/minzkh/current_activities/test/otbor_na_predstovlenie_subsidii" TargetMode="External"/><Relationship Id="rId4" Type="http://schemas.openxmlformats.org/officeDocument/2006/relationships/hyperlink" Target="consultantplus://offline/ref=A7FFE1F2864639C4BF6828697035292368A78CA46E988F391F788C0846055AA9DA4ED0EBF459DB2CDAED8961E0183AE38130B4160E42E564E947545EdDmEX" TargetMode="External"/><Relationship Id="rId5" Type="http://schemas.openxmlformats.org/officeDocument/2006/relationships/hyperlink" Target="https://minzkh.kamgov.ru/current_activities/test/otbor_na_predstovlenie_subsidii/normativnye-dokumenty" TargetMode="External"/><Relationship Id="rId6" Type="http://schemas.openxmlformats.org/officeDocument/2006/relationships/hyperlink" Target="consultantplus://offline/ref=110A6859818B71EBDC844009AB269AD29D2BE961F789B2A64BE3E92CD4569295A285DDC6C971A78A3A5818CD921A54E5941CA57E2D0C079AD1761CDCF2Z4F" TargetMode="External"/><Relationship Id="rId7" Type="http://schemas.openxmlformats.org/officeDocument/2006/relationships/hyperlink" Target="consultantplus://offline/ref=8DC70FD8D9524FD17D61AF7EF5AEBD5EFDE745ADDA1DE01AE50959C1D9088573F2BD824E270A1B2574E91D338DB493EF5133906D5179B5BA0CE0E4B8d8a3F" TargetMode="External"/><Relationship Id="rId8" Type="http://schemas.openxmlformats.org/officeDocument/2006/relationships/hyperlink" Target="consultantplus://offline/ref=8DC70FD8D9524FD17D61AF7EF5AEBD5EFDE745ADDA1DE01AE50959C1D9088573F2BD824E270A1B2574E91D308DB493EF5133906D5179B5BA0CE0E4B8d8a3F" TargetMode="External"/><Relationship Id="rId9" Type="http://schemas.openxmlformats.org/officeDocument/2006/relationships/hyperlink" Target="consultantplus://offline/ref=8DC70FD8D9524FD17D61AF7EF5AEBD5EFDE745ADDA1DE01AE50959C1D9088573F2BD824E270A1B2574E91D308EB493EF5133906D5179B5BA0CE0E4B8d8a3F" TargetMode="External"/><Relationship Id="rId10" Type="http://schemas.openxmlformats.org/officeDocument/2006/relationships/hyperlink" Target="consultantplus://offline/ref=6510C9E262E648CCA6621DE8BE8ACF7C8E871C0941570D121B710EF759CDE259A578225789D002C1A15641A31B699C06A2C4D42FA3E17DA3A53DE025AFdDF" TargetMode="External"/><Relationship Id="rId11" Type="http://schemas.openxmlformats.org/officeDocument/2006/relationships/hyperlink" Target="https://minzkh.kamgov.ru/rezultat-provedenia-otbora"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Application>LibreOffice/7.4.4.2$Linux_X86_64 LibreOffice_project/40$Build-2</Application>
  <AppVersion>15.0000</AppVersion>
  <Pages>7</Pages>
  <Words>1395</Words>
  <Characters>10295</Characters>
  <CharactersWithSpaces>11625</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2022-12-28T04:59:00Z</dcterms:created>
  <dc:creator>Попова Елена Николаевна</dc:creator>
  <dc:description/>
  <dc:language>ru-RU</dc:language>
  <cp:lastModifiedBy/>
  <dcterms:modified xsi:type="dcterms:W3CDTF">2024-01-29T11:17:18Z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