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rFonts w:ascii="Times New Roman" w:hAnsi="Times New Roman" w:cs="Times New Roman"/>
          <w:b w:val="false"/>
          <w:b w:val="false"/>
          <w:sz w:val="28"/>
          <w:szCs w:val="28"/>
        </w:rPr>
      </w:pPr>
      <w:bookmarkStart w:id="0" w:name="_GoBack"/>
      <w:bookmarkEnd w:id="0"/>
      <w:r>
        <w:rPr>
          <w:rFonts w:cs="Times New Roman" w:ascii="Times New Roman" w:hAnsi="Times New Roman"/>
          <w:b w:val="false"/>
          <w:sz w:val="28"/>
          <w:szCs w:val="28"/>
        </w:rPr>
        <w:t>Объявление</w:t>
      </w:r>
    </w:p>
    <w:p>
      <w:pPr>
        <w:pStyle w:val="Normal"/>
        <w:jc w:val="center"/>
        <w:rPr>
          <w:rFonts w:eastAsia="Calibri"/>
          <w:szCs w:val="28"/>
          <w:lang w:eastAsia="en-US"/>
        </w:rPr>
      </w:pPr>
      <w:r>
        <w:rPr>
          <w:szCs w:val="28"/>
        </w:rPr>
        <w:t xml:space="preserve">о проведении отбора получателей </w:t>
      </w:r>
      <w:r>
        <w:rPr>
          <w:spacing w:val="4"/>
          <w:szCs w:val="28"/>
        </w:rPr>
        <w:t xml:space="preserve">из краевого бюджета </w:t>
      </w:r>
      <w:r>
        <w:rPr>
          <w:rFonts w:eastAsia="Calibri" w:eastAsiaTheme="minorHAnsi"/>
          <w:szCs w:val="28"/>
          <w:lang w:eastAsia="en-US"/>
        </w:rPr>
        <w:t>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с общей площадью водной поверхности более 3 000 м</w:t>
      </w:r>
      <w:r>
        <w:rPr>
          <w:rFonts w:eastAsia="Calibri" w:eastAsiaTheme="minorHAnsi"/>
          <w:szCs w:val="28"/>
          <w:vertAlign w:val="superscript"/>
          <w:lang w:eastAsia="en-US"/>
        </w:rPr>
        <w:t>2</w:t>
      </w:r>
      <w:r>
        <w:rPr>
          <w:rFonts w:eastAsia="Calibri" w:eastAsiaTheme="minorHAnsi"/>
          <w:szCs w:val="28"/>
          <w:lang w:eastAsia="en-US"/>
        </w:rPr>
        <w:t xml:space="preserve"> тепловой энергии по льготным тарифам</w:t>
      </w:r>
    </w:p>
    <w:p>
      <w:pPr>
        <w:pStyle w:val="Normal"/>
        <w:jc w:val="center"/>
        <w:rPr>
          <w:rFonts w:eastAsia="Calibri"/>
          <w:szCs w:val="28"/>
          <w:lang w:eastAsia="en-US"/>
        </w:rPr>
      </w:pPr>
      <w:r>
        <w:rPr>
          <w:rFonts w:eastAsia="Calibri" w:eastAsiaTheme="minorHAnsi"/>
          <w:szCs w:val="28"/>
          <w:lang w:eastAsia="en-US"/>
        </w:rPr>
        <w:t xml:space="preserve"> </w:t>
      </w:r>
    </w:p>
    <w:p>
      <w:pPr>
        <w:pStyle w:val="Normal"/>
        <w:ind w:firstLine="709"/>
        <w:jc w:val="both"/>
        <w:rPr>
          <w:rFonts w:eastAsia="Calibri"/>
          <w:szCs w:val="28"/>
          <w:lang w:eastAsia="en-US"/>
        </w:rPr>
      </w:pPr>
      <w:r>
        <w:rPr>
          <w:szCs w:val="28"/>
        </w:rPr>
        <w:t xml:space="preserve">Министерством жилищно-коммунального хозяйства и энергетики Камчатского края (далее – Министерство) объявлен отбор получателей </w:t>
      </w:r>
      <w:r>
        <w:rPr>
          <w:spacing w:val="4"/>
          <w:szCs w:val="28"/>
        </w:rPr>
        <w:t xml:space="preserve">из краевого бюджета </w:t>
      </w:r>
      <w:r>
        <w:rPr>
          <w:rFonts w:eastAsia="Calibri" w:eastAsiaTheme="minorHAnsi"/>
          <w:szCs w:val="28"/>
          <w:lang w:eastAsia="en-US"/>
        </w:rPr>
        <w:t>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с общей площадью водной поверхности более 3 000 м</w:t>
      </w:r>
      <w:r>
        <w:rPr>
          <w:rFonts w:eastAsia="Calibri" w:eastAsiaTheme="minorHAnsi"/>
          <w:szCs w:val="28"/>
          <w:vertAlign w:val="superscript"/>
          <w:lang w:eastAsia="en-US"/>
        </w:rPr>
        <w:t>2</w:t>
      </w:r>
      <w:r>
        <w:rPr>
          <w:rFonts w:eastAsia="Calibri" w:eastAsiaTheme="minorHAnsi"/>
          <w:szCs w:val="28"/>
          <w:lang w:eastAsia="en-US"/>
        </w:rPr>
        <w:t xml:space="preserve"> тепловой энергии по льготным тарифам</w:t>
      </w:r>
      <w:r>
        <w:rPr>
          <w:szCs w:val="28"/>
        </w:rPr>
        <w:t xml:space="preserve"> на 2024 год, проводимый в соответствии с Порядком </w:t>
      </w:r>
      <w:r>
        <w:rPr>
          <w:rFonts w:eastAsia="Calibri" w:eastAsiaTheme="minorHAnsi"/>
          <w:szCs w:val="28"/>
          <w:lang w:eastAsia="en-US"/>
        </w:rPr>
        <w:t>предоставления из краевого бюджета 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с общей площадью водной поверхности более 3 000 м</w:t>
      </w:r>
      <w:r>
        <w:rPr>
          <w:rFonts w:eastAsia="Calibri" w:eastAsiaTheme="minorHAnsi"/>
          <w:szCs w:val="28"/>
          <w:vertAlign w:val="superscript"/>
          <w:lang w:eastAsia="en-US"/>
        </w:rPr>
        <w:t>2</w:t>
      </w:r>
      <w:r>
        <w:rPr>
          <w:rFonts w:eastAsia="Calibri" w:eastAsiaTheme="minorHAnsi"/>
          <w:szCs w:val="28"/>
          <w:lang w:eastAsia="en-US"/>
        </w:rPr>
        <w:t xml:space="preserve"> тепловой энергии по льготным тарифам</w:t>
      </w:r>
      <w:r>
        <w:rPr>
          <w:szCs w:val="28"/>
        </w:rPr>
        <w:t>, утвержденным постановлением Правительства Камчатского края от 16.07.2020 № 278-П (далее – Порядок).</w:t>
      </w:r>
    </w:p>
    <w:p>
      <w:pPr>
        <w:pStyle w:val="Normal"/>
        <w:tabs>
          <w:tab w:val="clear" w:pos="708"/>
          <w:tab w:val="left" w:pos="851" w:leader="none"/>
        </w:tabs>
        <w:ind w:firstLine="709"/>
        <w:jc w:val="both"/>
        <w:rPr>
          <w:szCs w:val="28"/>
        </w:rPr>
      </w:pPr>
      <w:r>
        <w:rPr>
          <w:szCs w:val="28"/>
        </w:rPr>
      </w:r>
    </w:p>
    <w:tbl>
      <w:tblPr>
        <w:tblStyle w:val="a3"/>
        <w:tblW w:w="9641"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701"/>
        <w:gridCol w:w="2415"/>
        <w:gridCol w:w="6525"/>
      </w:tblGrid>
      <w:tr>
        <w:trPr>
          <w:tblHeader w:val="true"/>
        </w:trPr>
        <w:tc>
          <w:tcPr>
            <w:tcW w:w="701" w:type="dxa"/>
            <w:tcBorders/>
          </w:tcPr>
          <w:p>
            <w:pPr>
              <w:pStyle w:val="Normal"/>
              <w:widowControl w:val="false"/>
              <w:tabs>
                <w:tab w:val="clear" w:pos="708"/>
                <w:tab w:val="left" w:pos="851" w:leader="none"/>
              </w:tabs>
              <w:suppressAutoHyphens w:val="true"/>
              <w:spacing w:before="0" w:after="0"/>
              <w:jc w:val="center"/>
              <w:rPr>
                <w:szCs w:val="28"/>
              </w:rPr>
            </w:pPr>
            <w:r>
              <w:rPr>
                <w:kern w:val="0"/>
                <w:szCs w:val="28"/>
                <w:lang w:val="ru-RU" w:bidi="ar-SA"/>
              </w:rPr>
              <w:t>1</w:t>
            </w:r>
          </w:p>
        </w:tc>
        <w:tc>
          <w:tcPr>
            <w:tcW w:w="2415" w:type="dxa"/>
            <w:tcBorders/>
          </w:tcPr>
          <w:p>
            <w:pPr>
              <w:pStyle w:val="Normal"/>
              <w:widowControl w:val="false"/>
              <w:suppressAutoHyphens w:val="true"/>
              <w:spacing w:before="0" w:after="0"/>
              <w:jc w:val="center"/>
              <w:rPr>
                <w:szCs w:val="28"/>
              </w:rPr>
            </w:pPr>
            <w:r>
              <w:rPr>
                <w:kern w:val="0"/>
                <w:szCs w:val="28"/>
                <w:lang w:val="ru-RU" w:bidi="ar-SA"/>
              </w:rPr>
              <w:t>2</w:t>
            </w:r>
          </w:p>
        </w:tc>
        <w:tc>
          <w:tcPr>
            <w:tcW w:w="6525" w:type="dxa"/>
            <w:tcBorders/>
          </w:tcPr>
          <w:p>
            <w:pPr>
              <w:pStyle w:val="Normal"/>
              <w:widowControl w:val="false"/>
              <w:tabs>
                <w:tab w:val="clear" w:pos="708"/>
                <w:tab w:val="left" w:pos="851" w:leader="none"/>
              </w:tabs>
              <w:suppressAutoHyphens w:val="true"/>
              <w:spacing w:before="0" w:after="0"/>
              <w:jc w:val="center"/>
              <w:rPr>
                <w:szCs w:val="28"/>
              </w:rPr>
            </w:pPr>
            <w:r>
              <w:rPr>
                <w:kern w:val="0"/>
                <w:szCs w:val="28"/>
                <w:lang w:val="ru-RU" w:bidi="ar-SA"/>
              </w:rPr>
              <w:t>3</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w:t>
            </w:r>
          </w:p>
        </w:tc>
        <w:tc>
          <w:tcPr>
            <w:tcW w:w="2415"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Местонахождение (почтовый адрес) Министерства, адрес электронной почты, номера телефонов</w:t>
            </w:r>
          </w:p>
          <w:p>
            <w:pPr>
              <w:pStyle w:val="Normal"/>
              <w:widowControl w:val="false"/>
              <w:tabs>
                <w:tab w:val="clear" w:pos="708"/>
                <w:tab w:val="left" w:pos="851" w:leader="none"/>
              </w:tabs>
              <w:suppressAutoHyphens w:val="true"/>
              <w:spacing w:before="0" w:after="0"/>
              <w:jc w:val="left"/>
              <w:rPr>
                <w:szCs w:val="28"/>
              </w:rPr>
            </w:pPr>
            <w:r>
              <w:rPr>
                <w:szCs w:val="28"/>
              </w:rPr>
            </w:r>
          </w:p>
        </w:tc>
        <w:tc>
          <w:tcPr>
            <w:tcW w:w="6525" w:type="dxa"/>
            <w:tcBorders/>
          </w:tcPr>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полное наименование: Министерство жилищно-коммунального хозяйства и энергетики Камчатского края;</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сокращенное наименование: Министерство ЖКХ и энергетики Камчатского края;</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место нахождения: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почтовый адрес: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 адрес электронной почты: </w:t>
            </w:r>
            <w:hyperlink r:id="rId2">
              <w:r>
                <w:rPr>
                  <w:rStyle w:val="Style15"/>
                  <w:rFonts w:cs="Times New Roman" w:ascii="Times New Roman" w:hAnsi="Times New Roman"/>
                  <w:kern w:val="0"/>
                  <w:sz w:val="28"/>
                  <w:szCs w:val="28"/>
                  <w:lang w:val="en-US" w:bidi="ar-SA"/>
                </w:rPr>
                <w:t>tek</w:t>
              </w:r>
              <w:r>
                <w:rPr>
                  <w:rStyle w:val="Style15"/>
                  <w:rFonts w:cs="Times New Roman" w:ascii="Times New Roman" w:hAnsi="Times New Roman"/>
                  <w:kern w:val="0"/>
                  <w:sz w:val="28"/>
                  <w:szCs w:val="28"/>
                  <w:lang w:val="ru-RU" w:bidi="ar-SA"/>
                </w:rPr>
                <w:t>1@</w:t>
              </w:r>
              <w:r>
                <w:rPr>
                  <w:rStyle w:val="Style15"/>
                  <w:rFonts w:cs="Times New Roman" w:ascii="Times New Roman" w:hAnsi="Times New Roman"/>
                  <w:kern w:val="0"/>
                  <w:sz w:val="28"/>
                  <w:szCs w:val="28"/>
                  <w:lang w:val="en-US" w:bidi="ar-SA"/>
                </w:rPr>
                <w:t>kamgov</w:t>
              </w:r>
              <w:r>
                <w:rPr>
                  <w:rStyle w:val="Style15"/>
                  <w:rFonts w:cs="Times New Roman" w:ascii="Times New Roman" w:hAnsi="Times New Roman"/>
                  <w:kern w:val="0"/>
                  <w:sz w:val="28"/>
                  <w:szCs w:val="28"/>
                  <w:lang w:val="ru-RU" w:bidi="ar-SA"/>
                </w:rPr>
                <w:t>.</w:t>
              </w:r>
              <w:r>
                <w:rPr>
                  <w:rStyle w:val="Style15"/>
                  <w:rFonts w:cs="Times New Roman" w:ascii="Times New Roman" w:hAnsi="Times New Roman"/>
                  <w:kern w:val="0"/>
                  <w:sz w:val="28"/>
                  <w:szCs w:val="28"/>
                  <w:lang w:val="en-US" w:bidi="ar-SA"/>
                </w:rPr>
                <w:t>ru</w:t>
              </w:r>
            </w:hyperlink>
            <w:r>
              <w:rPr>
                <w:rFonts w:cs="Times New Roman" w:ascii="Times New Roman" w:hAnsi="Times New Roman"/>
                <w:kern w:val="0"/>
                <w:sz w:val="28"/>
                <w:szCs w:val="28"/>
                <w:lang w:val="ru-RU" w:bidi="ar-SA"/>
              </w:rPr>
              <w:t xml:space="preserve"> ;</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телефон приемной (4152) 41-24-20; контактный телефон (4152) 42-03-05</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w:t>
            </w:r>
          </w:p>
        </w:tc>
        <w:tc>
          <w:tcPr>
            <w:tcW w:w="2415" w:type="dxa"/>
            <w:tcBorders/>
          </w:tcPr>
          <w:p>
            <w:pPr>
              <w:pStyle w:val="Normal"/>
              <w:widowControl w:val="false"/>
              <w:suppressAutoHyphens w:val="true"/>
              <w:spacing w:before="0" w:after="0"/>
              <w:jc w:val="left"/>
              <w:rPr>
                <w:szCs w:val="28"/>
              </w:rPr>
            </w:pPr>
            <w:r>
              <w:rPr>
                <w:kern w:val="0"/>
                <w:szCs w:val="28"/>
                <w:lang w:val="ru-RU" w:bidi="ar-SA"/>
              </w:rPr>
              <w:t>Срок проведения отбора</w:t>
            </w:r>
          </w:p>
        </w:tc>
        <w:tc>
          <w:tcPr>
            <w:tcW w:w="6525"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xml:space="preserve">с </w:t>
            </w:r>
            <w:r>
              <w:rPr>
                <w:kern w:val="0"/>
                <w:szCs w:val="28"/>
                <w:lang w:val="ru-RU" w:bidi="ar-SA"/>
              </w:rPr>
              <w:t>29</w:t>
            </w:r>
            <w:r>
              <w:rPr>
                <w:kern w:val="0"/>
                <w:szCs w:val="28"/>
                <w:lang w:val="ru-RU" w:bidi="ar-SA"/>
              </w:rPr>
              <w:t xml:space="preserve">.01.2024 по </w:t>
            </w:r>
            <w:r>
              <w:rPr>
                <w:kern w:val="0"/>
                <w:szCs w:val="28"/>
                <w:lang w:val="ru-RU" w:bidi="ar-SA"/>
              </w:rPr>
              <w:t>05</w:t>
            </w:r>
            <w:r>
              <w:rPr>
                <w:kern w:val="0"/>
                <w:szCs w:val="28"/>
                <w:lang w:val="ru-RU" w:bidi="ar-SA"/>
              </w:rPr>
              <w:t>.0</w:t>
            </w:r>
            <w:r>
              <w:rPr>
                <w:kern w:val="0"/>
                <w:szCs w:val="28"/>
                <w:lang w:val="ru-RU" w:bidi="ar-SA"/>
              </w:rPr>
              <w:t>2</w:t>
            </w:r>
            <w:r>
              <w:rPr>
                <w:kern w:val="0"/>
                <w:szCs w:val="28"/>
                <w:lang w:val="ru-RU" w:bidi="ar-SA"/>
              </w:rPr>
              <w:t>.2024 (включительно);</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3.</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Дата начала подачи приема заявок </w:t>
            </w:r>
          </w:p>
        </w:tc>
        <w:tc>
          <w:tcPr>
            <w:tcW w:w="6525"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29</w:t>
            </w:r>
            <w:r>
              <w:rPr>
                <w:kern w:val="0"/>
                <w:szCs w:val="28"/>
                <w:lang w:val="ru-RU" w:bidi="ar-SA"/>
              </w:rPr>
              <w:t>.01.2024</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4.</w:t>
            </w:r>
          </w:p>
        </w:tc>
        <w:tc>
          <w:tcPr>
            <w:tcW w:w="2415" w:type="dxa"/>
            <w:tcBorders/>
          </w:tcPr>
          <w:p>
            <w:pPr>
              <w:pStyle w:val="Normal"/>
              <w:widowControl w:val="false"/>
              <w:suppressAutoHyphens w:val="true"/>
              <w:spacing w:before="0" w:after="0"/>
              <w:jc w:val="left"/>
              <w:rPr>
                <w:szCs w:val="28"/>
              </w:rPr>
            </w:pPr>
            <w:r>
              <w:rPr>
                <w:kern w:val="0"/>
                <w:szCs w:val="28"/>
                <w:lang w:val="ru-RU" w:bidi="ar-SA"/>
              </w:rPr>
              <w:t>Результат предоставления субсидии</w:t>
            </w:r>
          </w:p>
        </w:tc>
        <w:tc>
          <w:tcPr>
            <w:tcW w:w="6525" w:type="dxa"/>
            <w:tcBorders/>
          </w:tcPr>
          <w:p>
            <w:pPr>
              <w:pStyle w:val="Normal"/>
              <w:widowControl w:val="false"/>
              <w:suppressAutoHyphens w:val="true"/>
              <w:spacing w:before="0" w:after="0"/>
              <w:ind w:firstLine="601"/>
              <w:jc w:val="both"/>
              <w:rPr>
                <w:szCs w:val="28"/>
              </w:rPr>
            </w:pPr>
            <w:r>
              <w:rPr>
                <w:kern w:val="0"/>
                <w:szCs w:val="28"/>
                <w:lang w:val="ru-RU" w:bidi="ar-SA"/>
              </w:rPr>
              <w:t>Результатом предоставления субсидии является объем поставки тепловой энергии по льготным тарифам потребителям в текущем финансовом году.</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Значение результата предоставления субсидии устанавливается Соглашением.</w:t>
            </w:r>
          </w:p>
          <w:p>
            <w:pPr>
              <w:pStyle w:val="Normal"/>
              <w:widowControl w:val="false"/>
              <w:suppressAutoHyphens w:val="true"/>
              <w:spacing w:before="0" w:after="0"/>
              <w:ind w:firstLine="601"/>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5.</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Проведение отбора осуществляется на официальном сайте Министерства жилищно-коммунального хозяйства и энергетики Камчатского края </w:t>
            </w:r>
          </w:p>
        </w:tc>
        <w:tc>
          <w:tcPr>
            <w:tcW w:w="6525" w:type="dxa"/>
            <w:tcBorders/>
          </w:tcPr>
          <w:p>
            <w:pPr>
              <w:pStyle w:val="Normal"/>
              <w:widowControl w:val="false"/>
              <w:suppressAutoHyphens w:val="true"/>
              <w:spacing w:before="0" w:after="0"/>
              <w:ind w:firstLine="601"/>
              <w:jc w:val="both"/>
              <w:rPr>
                <w:szCs w:val="28"/>
              </w:rPr>
            </w:pPr>
            <w:r>
              <w:rPr>
                <w:kern w:val="0"/>
                <w:szCs w:val="28"/>
                <w:lang w:val="ru-RU" w:bidi="ar-SA"/>
              </w:rPr>
              <w:t xml:space="preserve">Министерство обеспечивает проведение отбора </w:t>
            </w:r>
            <w:r>
              <w:rPr>
                <w:rFonts w:eastAsia="Calibri" w:eastAsiaTheme="minorHAnsi"/>
                <w:kern w:val="0"/>
                <w:szCs w:val="28"/>
                <w:lang w:val="ru-RU" w:eastAsia="en-US" w:bidi="ar-SA"/>
              </w:rPr>
              <w:t xml:space="preserve">на странице Министерства на официальном сайте исполнительных органов Камчатского края в информационно-телекоммуникационной сети «Интернет» www.kamgov.ru/minzkh </w:t>
            </w:r>
            <w:r>
              <w:rPr>
                <w:kern w:val="0"/>
                <w:szCs w:val="28"/>
                <w:lang w:val="ru-RU" w:bidi="ar-SA"/>
              </w:rPr>
              <w:t xml:space="preserve">в разделе «Текущая деятельность» (вкладка «Отбор на предоставление субсидий», ссылка:  </w:t>
            </w:r>
          </w:p>
          <w:p>
            <w:pPr>
              <w:pStyle w:val="Normal"/>
              <w:widowControl w:val="false"/>
              <w:suppressAutoHyphens w:val="true"/>
              <w:spacing w:before="0" w:after="0"/>
              <w:ind w:hanging="0"/>
              <w:jc w:val="both"/>
              <w:rPr>
                <w:szCs w:val="28"/>
              </w:rPr>
            </w:pPr>
            <w:hyperlink r:id="rId3">
              <w:r>
                <w:rPr>
                  <w:rStyle w:val="Style15"/>
                  <w:kern w:val="0"/>
                  <w:szCs w:val="28"/>
                  <w:lang w:val="ru-RU" w:bidi="ar-SA"/>
                </w:rPr>
                <w:t>https://minzkh.kamgov.ru/current_activities/test/otbor_na_predstovlenie_subsidii/obavlenia-o-nacale-otbora-polucatelej-subsidij</w:t>
              </w:r>
            </w:hyperlink>
          </w:p>
          <w:p>
            <w:pPr>
              <w:pStyle w:val="Normal"/>
              <w:widowControl w:val="false"/>
              <w:suppressAutoHyphens w:val="true"/>
              <w:spacing w:before="0" w:after="0"/>
              <w:ind w:firstLine="601"/>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6.</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Категория и требования, которым должны соответствовать участники отбора </w:t>
            </w:r>
          </w:p>
        </w:tc>
        <w:tc>
          <w:tcPr>
            <w:tcW w:w="6525"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К категории получателей субсидии относятся предприятия коммунального комплекса – юридические лица (за исключением государственных (муниципальных) учреждений), индивидуальные предприниматели, осуществляющие поставку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с общей площадью водной поверхности более 3 000 м</w:t>
            </w:r>
            <w:r>
              <w:rPr>
                <w:rFonts w:eastAsia="Calibri" w:eastAsiaTheme="minorHAnsi"/>
                <w:kern w:val="0"/>
                <w:szCs w:val="28"/>
                <w:vertAlign w:val="superscript"/>
                <w:lang w:val="ru-RU" w:eastAsia="en-US" w:bidi="ar-SA"/>
              </w:rPr>
              <w:t>2</w:t>
            </w:r>
            <w:r>
              <w:rPr>
                <w:rFonts w:eastAsia="Calibri" w:eastAsiaTheme="minorHAnsi"/>
                <w:kern w:val="0"/>
                <w:szCs w:val="28"/>
                <w:lang w:val="ru-RU" w:eastAsia="en-US" w:bidi="ar-SA"/>
              </w:rPr>
              <w:t xml:space="preserve"> тепловой энергии по льготным тарифам.</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Требования, предъявляемые к участникам отбора:</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1) соответствие участника отбора на первое число месяца, в котором он подал в Министерство заявку, следующим требованиям:</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а)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б) участник отбора не получает средства из краевого бюджета на основании иных нормативных правовых актов Камчатского края на цели, предусмотренные Порядком;</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2) установление на текущий финансовый год Региональной службой по тарифам и ценам Камчатского края (далее - Региональная служба):</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а) льготного тарифа на тепловую энергию, поставляемую участником отбора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с общей площадью водной поверхности более 3 000 м</w:t>
            </w:r>
            <w:r>
              <w:rPr>
                <w:rFonts w:eastAsia="Calibri" w:eastAsiaTheme="minorHAnsi"/>
                <w:kern w:val="0"/>
                <w:szCs w:val="28"/>
                <w:vertAlign w:val="superscript"/>
                <w:lang w:val="ru-RU" w:eastAsia="en-US" w:bidi="ar-SA"/>
              </w:rPr>
              <w:t>2</w:t>
            </w:r>
            <w:r>
              <w:rPr>
                <w:rFonts w:eastAsia="Calibri" w:eastAsiaTheme="minorHAnsi"/>
                <w:kern w:val="0"/>
                <w:szCs w:val="28"/>
                <w:lang w:val="ru-RU" w:eastAsia="en-US" w:bidi="ar-SA"/>
              </w:rPr>
              <w:t>, включенным в Перечень юридических лиц и индивидуальных предпринимателей Камчатского края, которым предоставляется право на поставку тепловой энергии по льготным тарифам, утвержденный Правительством Камчатского края (далее - потребители);</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б) экономически обоснованного тарифа на тепловую энергию, поставляемую участником отбора потребителям на территории муниципального образования, на котором осуществляют деятельность потребители;</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3) поставка участником отбора тепловой энергии потребителям по льготным тарифам.</w:t>
            </w:r>
          </w:p>
          <w:p>
            <w:pPr>
              <w:pStyle w:val="Normal"/>
              <w:widowControl w:val="false"/>
              <w:suppressAutoHyphens w:val="true"/>
              <w:spacing w:before="0" w:after="0"/>
              <w:ind w:firstLine="601"/>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7.</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Документы, которые необходимо предоставить для участия в отборе </w:t>
            </w:r>
          </w:p>
        </w:tc>
        <w:tc>
          <w:tcPr>
            <w:tcW w:w="6525" w:type="dxa"/>
            <w:tcBorders/>
          </w:tcPr>
          <w:p>
            <w:pPr>
              <w:pStyle w:val="ConsPlusNormal1"/>
              <w:widowControl w:val="false"/>
              <w:suppressAutoHyphens w:val="tru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Заявка оформляется по форме, утвержденной Министерством (приказ Министерства от 27.01.2022 № 20-13), и должна содержать:</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1) следующие сведения об участнике отбора, подавшем заявку:</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б) согласие на размещение информации на едином портале и официальном сайте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2) следующие документы:</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а)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 xml:space="preserve">б) справку, подписанную руководителем участника отбора, подтверждающую, что участник отбора соответствует условиям, установленным </w:t>
            </w:r>
            <w:hyperlink r:id="rId4">
              <w:r>
                <w:rPr>
                  <w:rFonts w:eastAsia="Calibri" w:eastAsiaTheme="minorHAnsi"/>
                  <w:kern w:val="0"/>
                  <w:szCs w:val="28"/>
                  <w:lang w:val="ru-RU" w:eastAsia="en-US" w:bidi="ar-SA"/>
                </w:rPr>
                <w:t>пунктом 1 части 8</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в) копии договоров энергоснабжения, заключенных между участником отбора и потребителями;</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г) объем плановой реализации тепловой энергии участником отбора в текущем финансовом году потребителям по форме, установленной Министерством.</w:t>
            </w:r>
          </w:p>
          <w:p>
            <w:pPr>
              <w:pStyle w:val="Normal"/>
              <w:widowControl w:val="false"/>
              <w:suppressAutoHyphens w:val="true"/>
              <w:spacing w:before="0" w:after="0"/>
              <w:ind w:firstLine="540"/>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8.</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Заявка на участие в отборе предоставляется в порядке и по форме, установленной Министерством</w:t>
            </w:r>
          </w:p>
        </w:tc>
        <w:tc>
          <w:tcPr>
            <w:tcW w:w="6525" w:type="dxa"/>
            <w:tcBorders/>
          </w:tcPr>
          <w:p>
            <w:pPr>
              <w:pStyle w:val="Normal"/>
              <w:widowControl w:val="false"/>
              <w:tabs>
                <w:tab w:val="clear" w:pos="708"/>
                <w:tab w:val="left" w:pos="851" w:leader="none"/>
              </w:tabs>
              <w:suppressAutoHyphens w:val="true"/>
              <w:spacing w:before="0" w:after="0"/>
              <w:ind w:firstLine="601"/>
              <w:jc w:val="both"/>
              <w:rPr>
                <w:szCs w:val="28"/>
              </w:rPr>
            </w:pPr>
            <w:r>
              <w:rPr>
                <w:kern w:val="0"/>
                <w:szCs w:val="28"/>
                <w:lang w:val="ru-RU" w:bidi="ar-SA"/>
              </w:rPr>
              <w:t xml:space="preserve">Заявка должна соответствовать форме, утвержденной приказом Министерства от 27.01.2022 № 20-13 (ссылка </w:t>
            </w:r>
          </w:p>
          <w:p>
            <w:pPr>
              <w:pStyle w:val="Normal"/>
              <w:widowControl w:val="false"/>
              <w:tabs>
                <w:tab w:val="clear" w:pos="708"/>
                <w:tab w:val="left" w:pos="851" w:leader="none"/>
              </w:tabs>
              <w:suppressAutoHyphens w:val="true"/>
              <w:spacing w:before="0" w:after="0"/>
              <w:ind w:hanging="0"/>
              <w:jc w:val="both"/>
              <w:rPr>
                <w:szCs w:val="28"/>
              </w:rPr>
            </w:pPr>
            <w:hyperlink r:id="rId5">
              <w:r>
                <w:rPr>
                  <w:rStyle w:val="Style15"/>
                  <w:kern w:val="0"/>
                  <w:szCs w:val="28"/>
                  <w:lang w:val="ru-RU" w:bidi="ar-SA"/>
                </w:rPr>
                <w:t>https://minzkh.kamgov.ru/current_activities/test/otbor_na_predstovlenie_subsidii/normativnye-dokumenty</w:t>
              </w:r>
            </w:hyperlink>
            <w:r>
              <w:rPr>
                <w:kern w:val="0"/>
                <w:szCs w:val="28"/>
                <w:lang w:val="ru-RU" w:bidi="ar-SA"/>
              </w:rPr>
              <w:t xml:space="preserve">) </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9.</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отзыва заявки участником отбора </w:t>
            </w:r>
          </w:p>
        </w:tc>
        <w:tc>
          <w:tcPr>
            <w:tcW w:w="652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w:t>
            </w:r>
          </w:p>
          <w:p>
            <w:pPr>
              <w:pStyle w:val="Normal"/>
              <w:widowControl w:val="false"/>
              <w:suppressAutoHyphens w:val="true"/>
              <w:spacing w:before="0" w:after="0"/>
              <w:ind w:firstLine="601"/>
              <w:jc w:val="both"/>
              <w:rPr>
                <w:rFonts w:eastAsia="Calibri"/>
                <w:szCs w:val="28"/>
                <w:lang w:eastAsia="en-US"/>
              </w:rPr>
            </w:pPr>
            <w:r>
              <w:rPr>
                <w:rFonts w:eastAsia="Calibri"/>
                <w:szCs w:val="28"/>
                <w:lang w:eastAsia="en-US"/>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10.</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уведомления участников отбора об отклонении заявок </w:t>
            </w:r>
          </w:p>
        </w:tc>
        <w:tc>
          <w:tcPr>
            <w:tcW w:w="652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 xml:space="preserve">В случае отклонения заявки (заявок) Министерство в течение 5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r:id="rId6">
              <w:r>
                <w:rPr>
                  <w:rFonts w:eastAsia="Calibri" w:eastAsiaTheme="minorHAnsi"/>
                  <w:kern w:val="0"/>
                  <w:szCs w:val="28"/>
                  <w:lang w:val="ru-RU" w:eastAsia="en-US" w:bidi="ar-SA"/>
                </w:rPr>
                <w:t>частью 23</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601"/>
              <w:jc w:val="both"/>
              <w:rPr>
                <w:rFonts w:eastAsia="Calibri"/>
                <w:szCs w:val="28"/>
                <w:lang w:eastAsia="en-US"/>
              </w:rPr>
            </w:pPr>
            <w:r>
              <w:rPr>
                <w:rFonts w:eastAsia="Calibri"/>
                <w:szCs w:val="28"/>
                <w:lang w:eastAsia="en-US"/>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11.</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внесения изменений в заявки </w:t>
            </w:r>
          </w:p>
        </w:tc>
        <w:tc>
          <w:tcPr>
            <w:tcW w:w="6525" w:type="dxa"/>
            <w:tcBorders/>
          </w:tcPr>
          <w:p>
            <w:pPr>
              <w:pStyle w:val="Normal"/>
              <w:widowControl w:val="false"/>
              <w:suppressAutoHyphens w:val="true"/>
              <w:spacing w:before="0" w:after="0"/>
              <w:jc w:val="both"/>
              <w:rPr>
                <w:rFonts w:ascii="Times New Roman" w:hAnsi="Times New Roman" w:eastAsia="Calibri" w:cs="Times New Roman"/>
                <w:color w:val="auto"/>
                <w:kern w:val="0"/>
                <w:sz w:val="28"/>
                <w:szCs w:val="28"/>
                <w:lang w:val="ru-RU" w:eastAsia="en-US" w:bidi="ar-SA"/>
              </w:rPr>
            </w:pPr>
            <w:r>
              <w:rPr>
                <w:rFonts w:eastAsia="Calibri" w:cs="Times New Roman" w:eastAsiaTheme="minorHAnsi"/>
                <w:color w:val="auto"/>
                <w:kern w:val="0"/>
                <w:sz w:val="28"/>
                <w:szCs w:val="28"/>
                <w:lang w:val="ru-RU" w:eastAsia="en-US" w:bidi="ar-SA"/>
              </w:rPr>
              <w:t xml:space="preserve">    </w:t>
            </w:r>
            <w:r>
              <w:rPr>
                <w:rFonts w:eastAsia="Calibri" w:cs="Times New Roman" w:eastAsiaTheme="minorHAnsi"/>
                <w:color w:val="auto"/>
                <w:kern w:val="0"/>
                <w:sz w:val="28"/>
                <w:szCs w:val="28"/>
                <w:lang w:val="ru-RU" w:eastAsia="en-US" w:bidi="ar-SA"/>
              </w:rPr>
              <w:t>Внесение изменений в заявку осуществляется путем направления необходимых сведений в Министерство.</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12.</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Правила рассмотрения и оценки заявок </w:t>
            </w:r>
          </w:p>
        </w:tc>
        <w:tc>
          <w:tcPr>
            <w:tcW w:w="652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r:id="rId7">
              <w:r>
                <w:rPr>
                  <w:rFonts w:eastAsia="Calibri" w:eastAsiaTheme="minorHAnsi"/>
                  <w:kern w:val="0"/>
                  <w:szCs w:val="28"/>
                  <w:lang w:val="ru-RU" w:eastAsia="en-US" w:bidi="ar-SA"/>
                </w:rPr>
                <w:t>частью 9</w:t>
              </w:r>
            </w:hyperlink>
            <w:r>
              <w:rPr>
                <w:rFonts w:eastAsia="Calibri" w:eastAsiaTheme="minorHAnsi"/>
                <w:kern w:val="0"/>
                <w:szCs w:val="28"/>
                <w:lang w:val="ru-RU" w:eastAsia="en-US" w:bidi="ar-SA"/>
              </w:rPr>
              <w:t xml:space="preserve"> Порядка, а участник (участники) отбора при этом соответствует (соответствуют) категории и требованиям, установленным </w:t>
            </w:r>
            <w:hyperlink r:id="rId8">
              <w:r>
                <w:rPr>
                  <w:rFonts w:eastAsia="Calibri" w:eastAsiaTheme="minorHAnsi"/>
                  <w:kern w:val="0"/>
                  <w:szCs w:val="28"/>
                  <w:lang w:val="ru-RU" w:eastAsia="en-US" w:bidi="ar-SA"/>
                </w:rPr>
                <w:t>частями 7</w:t>
              </w:r>
            </w:hyperlink>
            <w:r>
              <w:rPr>
                <w:rFonts w:eastAsia="Calibri" w:eastAsiaTheme="minorHAnsi"/>
                <w:kern w:val="0"/>
                <w:szCs w:val="28"/>
                <w:lang w:val="ru-RU" w:eastAsia="en-US" w:bidi="ar-SA"/>
              </w:rPr>
              <w:t xml:space="preserve"> и </w:t>
            </w:r>
            <w:hyperlink r:id="rId9">
              <w:r>
                <w:rPr>
                  <w:rFonts w:eastAsia="Calibri" w:eastAsiaTheme="minorHAnsi"/>
                  <w:kern w:val="0"/>
                  <w:szCs w:val="28"/>
                  <w:lang w:val="ru-RU" w:eastAsia="en-US" w:bidi="ar-SA"/>
                </w:rPr>
                <w:t>8</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jc w:val="both"/>
              <w:rPr>
                <w:rFonts w:eastAsia="Calibri"/>
                <w:szCs w:val="28"/>
                <w:lang w:eastAsia="en-US"/>
              </w:rPr>
            </w:pPr>
            <w:r>
              <w:rPr>
                <w:rFonts w:eastAsia="Calibri"/>
                <w:szCs w:val="28"/>
                <w:lang w:eastAsia="en-US"/>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13.</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tc>
        <w:tc>
          <w:tcPr>
            <w:tcW w:w="652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Министерство в течение 3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Разъяснения положений объявления по отбору не должны изменять их сути.</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pPr>
              <w:pStyle w:val="ConsPlusNormal1"/>
              <w:widowControl w:val="false"/>
              <w:suppressAutoHyphens w:val="true"/>
              <w:spacing w:before="0" w:after="0"/>
              <w:ind w:hanging="0"/>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14.</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Сроки подписания победителем (победителями) отбора соглашения о предоставлении субсидии (далее – соглашение) </w:t>
            </w:r>
          </w:p>
        </w:tc>
        <w:tc>
          <w:tcPr>
            <w:tcW w:w="652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Министерство в течение 10 рабочих дней после дня завершения отбора и выявления победителя, направляет победителю отбора проект соглашения в двух экземплярах.</w:t>
            </w:r>
          </w:p>
          <w:p>
            <w:pPr>
              <w:pStyle w:val="Normal"/>
              <w:widowControl w:val="false"/>
              <w:suppressAutoHyphens w:val="true"/>
              <w:spacing w:before="0" w:after="0"/>
              <w:ind w:firstLine="601"/>
              <w:jc w:val="both"/>
              <w:rPr>
                <w:szCs w:val="28"/>
              </w:rPr>
            </w:pPr>
            <w:r>
              <w:rPr>
                <w:rFonts w:eastAsia="Calibri" w:eastAsiaTheme="minorHAnsi"/>
                <w:kern w:val="0"/>
                <w:szCs w:val="28"/>
                <w:lang w:val="ru-RU" w:eastAsia="en-US" w:bidi="ar-SA"/>
              </w:rPr>
              <w:t>Победитель отбора в течение 5 рабочих дней после дня получения проекта соглашения подписывает его и возвращает в Министерство два экземпляра проекта соглашения.</w:t>
            </w:r>
          </w:p>
          <w:p>
            <w:pPr>
              <w:pStyle w:val="Normal"/>
              <w:widowControl w:val="false"/>
              <w:suppressAutoHyphens w:val="true"/>
              <w:spacing w:before="0" w:after="0"/>
              <w:ind w:firstLine="601"/>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15.</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Условия признания победителя (победителей) отбора уклонившимся (уклонившимися) от заключения соглашения </w:t>
            </w:r>
          </w:p>
        </w:tc>
        <w:tc>
          <w:tcPr>
            <w:tcW w:w="652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 xml:space="preserve">В случае нарушения победителем отбора порядка подписания соглашения, установленного </w:t>
            </w:r>
            <w:hyperlink r:id="rId10">
              <w:r>
                <w:rPr>
                  <w:rFonts w:eastAsia="Calibri" w:eastAsiaTheme="minorHAnsi"/>
                  <w:kern w:val="0"/>
                  <w:szCs w:val="28"/>
                  <w:lang w:val="ru-RU" w:eastAsia="en-US" w:bidi="ar-SA"/>
                </w:rPr>
                <w:t>частью 27</w:t>
              </w:r>
            </w:hyperlink>
            <w:r>
              <w:rPr>
                <w:rFonts w:eastAsia="Calibri" w:eastAsiaTheme="minorHAnsi"/>
                <w:kern w:val="0"/>
                <w:szCs w:val="28"/>
                <w:lang w:val="ru-RU" w:eastAsia="en-US" w:bidi="ar-SA"/>
              </w:rPr>
              <w:t xml:space="preserve"> Порядка, или в случае наличия недостоверных сведений в проекте соглашения победитель отбора признается уклонившимся от заключения соглашения.</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16.</w:t>
            </w:r>
          </w:p>
        </w:tc>
        <w:tc>
          <w:tcPr>
            <w:tcW w:w="2415"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Дата размещения результатов отбора на едином портале и на официальном сайте Министерства </w:t>
            </w:r>
          </w:p>
        </w:tc>
        <w:tc>
          <w:tcPr>
            <w:tcW w:w="6525" w:type="dxa"/>
            <w:tcBorders/>
          </w:tcPr>
          <w:p>
            <w:pPr>
              <w:pStyle w:val="Normal"/>
              <w:widowControl w:val="false"/>
              <w:suppressAutoHyphens w:val="true"/>
              <w:spacing w:before="0" w:after="0"/>
              <w:ind w:firstLine="605"/>
              <w:jc w:val="both"/>
              <w:rPr>
                <w:rFonts w:eastAsia="Calibri"/>
                <w:szCs w:val="28"/>
                <w:lang w:eastAsia="en-US"/>
              </w:rPr>
            </w:pPr>
            <w:r>
              <w:rPr>
                <w:kern w:val="0"/>
                <w:szCs w:val="28"/>
                <w:lang w:val="ru-RU" w:bidi="ar-SA"/>
              </w:rPr>
              <w:t xml:space="preserve">Министерство в срок не позднее </w:t>
            </w:r>
            <w:r>
              <w:rPr>
                <w:kern w:val="0"/>
                <w:szCs w:val="28"/>
                <w:lang w:val="ru-RU" w:bidi="ar-SA"/>
              </w:rPr>
              <w:t>19.</w:t>
            </w:r>
            <w:r>
              <w:rPr>
                <w:kern w:val="0"/>
                <w:szCs w:val="28"/>
                <w:lang w:val="ru-RU" w:bidi="ar-SA"/>
              </w:rPr>
              <w:t>02.2024 (</w:t>
            </w:r>
            <w:r>
              <w:rPr>
                <w:rFonts w:eastAsia="Calibri" w:eastAsiaTheme="minorHAnsi"/>
                <w:kern w:val="0"/>
                <w:szCs w:val="28"/>
                <w:lang w:val="ru-RU" w:eastAsia="en-US" w:bidi="ar-SA"/>
              </w:rPr>
              <w:t>в срок не позднее 14 календарных дней после дня завершения отбора)</w:t>
            </w:r>
            <w:r>
              <w:rPr>
                <w:kern w:val="0"/>
                <w:szCs w:val="28"/>
                <w:lang w:val="ru-RU" w:bidi="ar-SA"/>
              </w:rPr>
              <w:t xml:space="preserve"> размещает на едином портале и на официальном сайте Министерства (</w:t>
            </w:r>
            <w:hyperlink r:id="rId11">
              <w:r>
                <w:rPr>
                  <w:rStyle w:val="Style15"/>
                  <w:kern w:val="0"/>
                  <w:szCs w:val="28"/>
                  <w:lang w:val="ru-RU" w:bidi="ar-SA"/>
                </w:rPr>
                <w:t>https://minzkh.kamgov.ru/rezultat-provedenia-otbora</w:t>
              </w:r>
            </w:hyperlink>
            <w:r>
              <w:rPr>
                <w:kern w:val="0"/>
                <w:szCs w:val="28"/>
                <w:lang w:val="ru-RU" w:bidi="ar-SA"/>
              </w:rPr>
              <w:t>) информацию о результатах отбора, включающую:</w:t>
            </w:r>
          </w:p>
          <w:p>
            <w:pPr>
              <w:pStyle w:val="Normal"/>
              <w:widowControl w:val="false"/>
              <w:suppressAutoHyphens w:val="true"/>
              <w:spacing w:before="0" w:after="0"/>
              <w:ind w:firstLine="594"/>
              <w:jc w:val="both"/>
              <w:rPr>
                <w:rFonts w:eastAsia="Calibri"/>
                <w:szCs w:val="28"/>
                <w:lang w:eastAsia="en-US"/>
              </w:rPr>
            </w:pPr>
            <w:r>
              <w:rPr>
                <w:rFonts w:eastAsia="Calibri" w:eastAsiaTheme="minorHAnsi"/>
                <w:kern w:val="0"/>
                <w:szCs w:val="28"/>
                <w:lang w:val="ru-RU" w:eastAsia="en-US" w:bidi="ar-SA"/>
              </w:rPr>
              <w:t>1) дату, время и место проведения рассмотрения заявок;</w:t>
            </w:r>
          </w:p>
          <w:p>
            <w:pPr>
              <w:pStyle w:val="Normal"/>
              <w:widowControl w:val="false"/>
              <w:suppressAutoHyphens w:val="true"/>
              <w:spacing w:before="0" w:after="0"/>
              <w:ind w:firstLine="594"/>
              <w:jc w:val="both"/>
              <w:rPr>
                <w:rFonts w:eastAsia="Calibri"/>
                <w:szCs w:val="28"/>
                <w:lang w:eastAsia="en-US"/>
              </w:rPr>
            </w:pPr>
            <w:r>
              <w:rPr>
                <w:rFonts w:eastAsia="Calibri" w:eastAsiaTheme="minorHAnsi"/>
                <w:kern w:val="0"/>
                <w:szCs w:val="28"/>
                <w:lang w:val="ru-RU" w:eastAsia="en-US" w:bidi="ar-SA"/>
              </w:rPr>
              <w:t>2) информацию об участниках отбора, заявки которых были рассмотрены;</w:t>
            </w:r>
          </w:p>
          <w:p>
            <w:pPr>
              <w:pStyle w:val="Normal"/>
              <w:widowControl w:val="false"/>
              <w:suppressAutoHyphens w:val="true"/>
              <w:spacing w:before="0" w:after="0"/>
              <w:ind w:firstLine="594"/>
              <w:jc w:val="both"/>
              <w:rPr>
                <w:rFonts w:eastAsia="Calibri"/>
                <w:szCs w:val="28"/>
                <w:lang w:eastAsia="en-US"/>
              </w:rPr>
            </w:pPr>
            <w:r>
              <w:rPr>
                <w:rFonts w:eastAsia="Calibri" w:eastAsiaTheme="minorHAnsi"/>
                <w:kern w:val="0"/>
                <w:szCs w:val="28"/>
                <w:lang w:val="ru-RU" w:eastAsia="en-US" w:bidi="ar-SA"/>
              </w:rPr>
              <w:t>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4) информацию о победителе (победителях) отбора и о размере предоставляемой ему (им) субсидии.</w:t>
            </w:r>
          </w:p>
          <w:p>
            <w:pPr>
              <w:pStyle w:val="Normal"/>
              <w:widowControl w:val="false"/>
              <w:suppressAutoHyphens w:val="true"/>
              <w:spacing w:before="0" w:after="0"/>
              <w:ind w:firstLine="540"/>
              <w:jc w:val="both"/>
              <w:rPr>
                <w:rFonts w:eastAsia="Calibri"/>
                <w:szCs w:val="28"/>
                <w:lang w:eastAsia="en-US"/>
              </w:rPr>
            </w:pPr>
            <w:r>
              <w:rPr>
                <w:rFonts w:eastAsia="Calibri"/>
                <w:szCs w:val="28"/>
                <w:lang w:eastAsia="en-US"/>
              </w:rPr>
            </w:r>
          </w:p>
        </w:tc>
      </w:tr>
    </w:tbl>
    <w:p>
      <w:pPr>
        <w:pStyle w:val="Normal"/>
        <w:rPr/>
      </w:pPr>
      <w:r>
        <w:rPr/>
      </w:r>
    </w:p>
    <w:p>
      <w:pPr>
        <w:pStyle w:val="Normal"/>
        <w:rPr/>
      </w:pPr>
      <w:r>
        <w:rPr/>
      </w:r>
    </w:p>
    <w:p>
      <w:pPr>
        <w:pStyle w:val="Normal"/>
        <w:rPr/>
      </w:pPr>
      <w:r>
        <w:rPr/>
      </w:r>
    </w:p>
    <w:p>
      <w:pPr>
        <w:pStyle w:val="Normal"/>
        <w:rPr>
          <w:sz w:val="24"/>
          <w:szCs w:val="22"/>
        </w:rPr>
      </w:pPr>
      <w:r>
        <w:rPr/>
      </w:r>
    </w:p>
    <w:sectPr>
      <w:headerReference w:type="default" r:id="rId12"/>
      <w:type w:val="nextPage"/>
      <w:pgSz w:w="11906" w:h="16838"/>
      <w:pgMar w:left="1418" w:right="851" w:gutter="0" w:header="709" w:top="1134" w:footer="0"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7481940"/>
    </w:sdtPr>
    <w:sdtContent>
      <w:p>
        <w:pPr>
          <w:pStyle w:val="Style25"/>
          <w:jc w:val="center"/>
          <w:rPr>
            <w:sz w:val="24"/>
          </w:rPr>
        </w:pPr>
        <w:r>
          <w:rPr>
            <w:sz w:val="24"/>
          </w:rPr>
          <w:fldChar w:fldCharType="begin"/>
        </w:r>
        <w:r>
          <w:rPr>
            <w:sz w:val="24"/>
          </w:rPr>
          <w:instrText xml:space="preserve"> PAGE </w:instrText>
        </w:r>
        <w:r>
          <w:rPr>
            <w:sz w:val="24"/>
          </w:rPr>
          <w:fldChar w:fldCharType="separate"/>
        </w:r>
        <w:r>
          <w:rPr>
            <w:sz w:val="24"/>
          </w:rPr>
          <w:t>7</w:t>
        </w:r>
        <w:r>
          <w:rPr>
            <w:sz w:val="24"/>
          </w:rPr>
          <w:fldChar w:fldCharType="end"/>
        </w:r>
      </w:p>
    </w:sdtContent>
  </w:sdt>
  <w:p>
    <w:pPr>
      <w:pStyle w:val="Style25"/>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f73"/>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1"/>
    <w:qFormat/>
    <w:rsid w:val="0009029f"/>
    <w:rPr>
      <w:rFonts w:ascii="Arial" w:hAnsi="Arial" w:eastAsia="Times New Roman" w:cs="Arial"/>
      <w:sz w:val="20"/>
      <w:szCs w:val="20"/>
      <w:lang w:eastAsia="ru-RU"/>
    </w:rPr>
  </w:style>
  <w:style w:type="character" w:styleId="Style14" w:customStyle="1">
    <w:name w:val="Нижний колонтитул Знак"/>
    <w:basedOn w:val="DefaultParagraphFont"/>
    <w:uiPriority w:val="99"/>
    <w:qFormat/>
    <w:rsid w:val="00752057"/>
    <w:rPr>
      <w:rFonts w:ascii="Times New Roman" w:hAnsi="Times New Roman" w:eastAsia="Times New Roman" w:cs="Times New Roman"/>
      <w:sz w:val="28"/>
      <w:szCs w:val="28"/>
      <w:lang w:eastAsia="ru-RU"/>
    </w:rPr>
  </w:style>
  <w:style w:type="character" w:styleId="Style15">
    <w:name w:val="Hyperlink"/>
    <w:basedOn w:val="DefaultParagraphFont"/>
    <w:uiPriority w:val="99"/>
    <w:unhideWhenUsed/>
    <w:rsid w:val="00525fc9"/>
    <w:rPr>
      <w:color w:val="0563C1" w:themeColor="hyperlink"/>
      <w:u w:val="single"/>
    </w:rPr>
  </w:style>
  <w:style w:type="character" w:styleId="Style16" w:customStyle="1">
    <w:name w:val="Верхний колонтитул Знак"/>
    <w:basedOn w:val="DefaultParagraphFont"/>
    <w:uiPriority w:val="99"/>
    <w:qFormat/>
    <w:rsid w:val="005d4abe"/>
    <w:rPr>
      <w:rFonts w:ascii="Times New Roman" w:hAnsi="Times New Roman" w:eastAsia="Times New Roman" w:cs="Times New Roman"/>
      <w:sz w:val="28"/>
      <w:szCs w:val="24"/>
      <w:lang w:eastAsia="ru-RU"/>
    </w:rPr>
  </w:style>
  <w:style w:type="character" w:styleId="Style17">
    <w:name w:val="FollowedHyperlink"/>
    <w:basedOn w:val="DefaultParagraphFont"/>
    <w:uiPriority w:val="99"/>
    <w:semiHidden/>
    <w:unhideWhenUsed/>
    <w:rsid w:val="00c22fdc"/>
    <w:rPr>
      <w:color w:val="954F72" w:themeColor="followedHyperlink"/>
      <w:u w:val="single"/>
    </w:rPr>
  </w:style>
  <w:style w:type="paragraph" w:styleId="Style18">
    <w:name w:val="Заголовок"/>
    <w:basedOn w:val="Normal"/>
    <w:next w:val="Style19"/>
    <w:qFormat/>
    <w:pPr>
      <w:keepNext w:val="true"/>
      <w:spacing w:before="240" w:after="120"/>
    </w:pPr>
    <w:rPr>
      <w:rFonts w:ascii="Open Sans" w:hAnsi="Open Sans" w:eastAsia="Tahoma"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onsPlusNormal1" w:customStyle="1">
    <w:name w:val="ConsPlusNormal"/>
    <w:link w:val="ConsPlusNormal"/>
    <w:qFormat/>
    <w:rsid w:val="000902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f5fe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3">
    <w:name w:val="Колонтитул"/>
    <w:basedOn w:val="Normal"/>
    <w:qFormat/>
    <w:pPr/>
    <w:rPr/>
  </w:style>
  <w:style w:type="paragraph" w:styleId="Style24">
    <w:name w:val="Footer"/>
    <w:basedOn w:val="Normal"/>
    <w:link w:val="Style14"/>
    <w:uiPriority w:val="99"/>
    <w:rsid w:val="00752057"/>
    <w:pPr>
      <w:tabs>
        <w:tab w:val="clear" w:pos="708"/>
        <w:tab w:val="center" w:pos="4677" w:leader="none"/>
        <w:tab w:val="right" w:pos="9355" w:leader="none"/>
      </w:tabs>
    </w:pPr>
    <w:rPr>
      <w:szCs w:val="28"/>
    </w:rPr>
  </w:style>
  <w:style w:type="paragraph" w:styleId="Style25">
    <w:name w:val="Header"/>
    <w:basedOn w:val="Normal"/>
    <w:link w:val="Style16"/>
    <w:uiPriority w:val="99"/>
    <w:unhideWhenUsed/>
    <w:rsid w:val="005d4abe"/>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36f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k1@kamgov.ru" TargetMode="External"/><Relationship Id="rId3" Type="http://schemas.openxmlformats.org/officeDocument/2006/relationships/hyperlink" Target="https://minzkh.kamgov.ru/current_activities/test/otbor_na_predstovlenie_subsidii/obavlenia-o-nacale-otbora-polucatelej-subsidij" TargetMode="External"/><Relationship Id="rId4" Type="http://schemas.openxmlformats.org/officeDocument/2006/relationships/hyperlink" Target="consultantplus://offline/ref=A7FFE1F2864639C4BF6828697035292368A78CA46E988F391F788C0846055AA9DA4ED0EBF459DB2CDAED8961E0183AE38130B4160E42E564E947545EdDmEX" TargetMode="External"/><Relationship Id="rId5" Type="http://schemas.openxmlformats.org/officeDocument/2006/relationships/hyperlink" Target="https://minzkh.kamgov.ru/current_activities/test/otbor_na_predstovlenie_subsidii/normativnye-dokumenty" TargetMode="External"/><Relationship Id="rId6" Type="http://schemas.openxmlformats.org/officeDocument/2006/relationships/hyperlink" Target="consultantplus://offline/ref=110A6859818B71EBDC844009AB269AD29D2BE961F789B2A64BE3E92CD4569295A285DDC6C971A78A3A5818CD921A54E5941CA57E2D0C079AD1761CDCF2Z4F" TargetMode="External"/><Relationship Id="rId7" Type="http://schemas.openxmlformats.org/officeDocument/2006/relationships/hyperlink" Target="consultantplus://offline/ref=8DC70FD8D9524FD17D61AF7EF5AEBD5EFDE745ADDA1DE01AE50959C1D9088573F2BD824E270A1B2574E91D338DB493EF5133906D5179B5BA0CE0E4B8d8a3F" TargetMode="External"/><Relationship Id="rId8" Type="http://schemas.openxmlformats.org/officeDocument/2006/relationships/hyperlink" Target="consultantplus://offline/ref=8DC70FD8D9524FD17D61AF7EF5AEBD5EFDE745ADDA1DE01AE50959C1D9088573F2BD824E270A1B2574E91D308DB493EF5133906D5179B5BA0CE0E4B8d8a3F" TargetMode="External"/><Relationship Id="rId9" Type="http://schemas.openxmlformats.org/officeDocument/2006/relationships/hyperlink" Target="consultantplus://offline/ref=8DC70FD8D9524FD17D61AF7EF5AEBD5EFDE745ADDA1DE01AE50959C1D9088573F2BD824E270A1B2574E91D308EB493EF5133906D5179B5BA0CE0E4B8d8a3F" TargetMode="External"/><Relationship Id="rId10" Type="http://schemas.openxmlformats.org/officeDocument/2006/relationships/hyperlink" Target="consultantplus://offline/ref=6510C9E262E648CCA6621DE8BE8ACF7C8E871C0941570D121B710EF759CDE259A578225789D002C1A15641A31B699C06A2C4D42FA3E17DA3A53DE025AFdDF" TargetMode="External"/><Relationship Id="rId11" Type="http://schemas.openxmlformats.org/officeDocument/2006/relationships/hyperlink" Target="https://minzkh.kamgov.ru/rezultat-provedenia-otbor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LibreOffice/7.4.4.2$Linux_X86_64 LibreOffice_project/40$Build-2</Application>
  <AppVersion>15.0000</AppVersion>
  <Pages>7</Pages>
  <Words>1363</Words>
  <Characters>9924</Characters>
  <CharactersWithSpaces>11226</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2023-02-02T05:42:00Z</dcterms:created>
  <dc:creator>Попова Елена Николаевна</dc:creator>
  <dc:description/>
  <dc:language>ru-RU</dc:language>
  <cp:lastModifiedBy/>
  <dcterms:modified xsi:type="dcterms:W3CDTF">2024-01-29T10:59:53Z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