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 xml:space="preserve">из краевого бюджета </w:t>
      </w:r>
      <w:r>
        <w:rPr>
          <w:rFonts w:eastAsia="Calibri" w:eastAsiaTheme="minorHAnsi"/>
          <w:szCs w:val="28"/>
          <w:lang w:eastAsia="en-US"/>
        </w:rPr>
        <w:t>субсидий 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Normal"/>
        <w:jc w:val="both"/>
        <w:rPr>
          <w:rFonts w:eastAsia="Calibri"/>
          <w:szCs w:val="28"/>
          <w:lang w:eastAsia="en-US"/>
        </w:rPr>
      </w:pPr>
      <w:r>
        <w:rPr>
          <w:rFonts w:eastAsia="Calibri" w:eastAsiaTheme="minorHAnsi"/>
          <w:szCs w:val="28"/>
          <w:lang w:eastAsia="en-US"/>
        </w:rPr>
        <w:t xml:space="preserve"> </w:t>
      </w:r>
    </w:p>
    <w:p>
      <w:pPr>
        <w:pStyle w:val="Normal"/>
        <w:ind w:firstLine="709"/>
        <w:jc w:val="both"/>
        <w:rPr>
          <w:rFonts w:eastAsia="Calibri"/>
          <w:szCs w:val="28"/>
          <w:lang w:eastAsia="en-US"/>
        </w:rPr>
      </w:pP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eastAsia="Calibri" w:eastAsiaTheme="minorHAnsi"/>
          <w:szCs w:val="28"/>
          <w:lang w:eastAsia="en-US"/>
        </w:rPr>
        <w:t xml:space="preserve">субсидий 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w:t>
      </w:r>
      <w:r>
        <w:rPr>
          <w:szCs w:val="28"/>
        </w:rPr>
        <w:t xml:space="preserve">на 2024 год, проводимый в соответствии с Порядком </w:t>
      </w:r>
      <w:r>
        <w:rPr>
          <w:rFonts w:eastAsia="Calibri" w:eastAsiaTheme="minorHAnsi"/>
          <w:szCs w:val="28"/>
          <w:lang w:eastAsia="en-US"/>
        </w:rPr>
        <w:t>предоставления из краевого бюджета субсидий гарантирующим поставщикам, реализующим электрическую энергию (мощность) покупателям на территории Камчатского края, не относящимся к населению и приравненным к нему категориям потребителей, на возмещение недополученных доходов в связи с 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r>
        <w:rPr>
          <w:szCs w:val="28"/>
        </w:rPr>
        <w:t xml:space="preserve">, утвержденным постановлением Правительства Камчатского края от 01.06.2017 № 232-П </w:t>
      </w:r>
      <w:bookmarkStart w:id="0" w:name="_GoBack"/>
      <w:bookmarkEnd w:id="0"/>
      <w:r>
        <w:rPr>
          <w:szCs w:val="28"/>
        </w:rPr>
        <w:t>(далее – Порядок).</w:t>
      </w:r>
    </w:p>
    <w:p>
      <w:pPr>
        <w:pStyle w:val="Normal"/>
        <w:tabs>
          <w:tab w:val="clear" w:pos="708"/>
          <w:tab w:val="left" w:pos="851" w:leader="none"/>
        </w:tabs>
        <w:ind w:firstLine="709"/>
        <w:jc w:val="both"/>
        <w:rPr>
          <w:szCs w:val="28"/>
        </w:rPr>
      </w:pPr>
      <w:r>
        <w:rPr>
          <w:szCs w:val="28"/>
        </w:rPr>
      </w:r>
    </w:p>
    <w:tbl>
      <w:tblPr>
        <w:tblStyle w:val="a3"/>
        <w:tblW w:w="10349" w:type="dxa"/>
        <w:jc w:val="left"/>
        <w:tblInd w:w="-289" w:type="dxa"/>
        <w:tblLayout w:type="fixed"/>
        <w:tblCellMar>
          <w:top w:w="0" w:type="dxa"/>
          <w:left w:w="108" w:type="dxa"/>
          <w:bottom w:w="0" w:type="dxa"/>
          <w:right w:w="108" w:type="dxa"/>
        </w:tblCellMar>
        <w:tblLook w:noVBand="1" w:val="04a0" w:noHBand="0" w:lastColumn="0" w:firstColumn="1" w:lastRow="0" w:firstRow="1"/>
      </w:tblPr>
      <w:tblGrid>
        <w:gridCol w:w="701"/>
        <w:gridCol w:w="2276"/>
        <w:gridCol w:w="7372"/>
      </w:tblGrid>
      <w:tr>
        <w:trPr>
          <w:tblHeader w:val="true"/>
        </w:trPr>
        <w:tc>
          <w:tcPr>
            <w:tcW w:w="701"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1</w:t>
            </w:r>
          </w:p>
        </w:tc>
        <w:tc>
          <w:tcPr>
            <w:tcW w:w="2276" w:type="dxa"/>
            <w:tcBorders/>
          </w:tcPr>
          <w:p>
            <w:pPr>
              <w:pStyle w:val="Normal"/>
              <w:widowControl w:val="false"/>
              <w:suppressAutoHyphens w:val="true"/>
              <w:spacing w:before="0" w:after="0"/>
              <w:jc w:val="center"/>
              <w:rPr>
                <w:szCs w:val="28"/>
              </w:rPr>
            </w:pPr>
            <w:r>
              <w:rPr>
                <w:kern w:val="0"/>
                <w:szCs w:val="28"/>
                <w:lang w:val="ru-RU" w:bidi="ar-SA"/>
              </w:rPr>
              <w:t>2</w:t>
            </w:r>
          </w:p>
        </w:tc>
        <w:tc>
          <w:tcPr>
            <w:tcW w:w="7372" w:type="dxa"/>
            <w:tcBorders/>
          </w:tcPr>
          <w:p>
            <w:pPr>
              <w:pStyle w:val="Normal"/>
              <w:widowControl w:val="false"/>
              <w:tabs>
                <w:tab w:val="clear" w:pos="708"/>
                <w:tab w:val="left" w:pos="851" w:leader="none"/>
              </w:tabs>
              <w:suppressAutoHyphens w:val="true"/>
              <w:spacing w:before="0" w:after="0"/>
              <w:jc w:val="center"/>
              <w:rPr>
                <w:szCs w:val="28"/>
              </w:rPr>
            </w:pPr>
            <w:r>
              <w:rPr>
                <w:kern w:val="0"/>
                <w:szCs w:val="28"/>
                <w:lang w:val="ru-RU" w:bidi="ar-SA"/>
              </w:rPr>
              <w:t>3</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w:t>
            </w:r>
          </w:p>
        </w:tc>
        <w:tc>
          <w:tcPr>
            <w:tcW w:w="2276" w:type="dxa"/>
            <w:tcBorders/>
          </w:tcPr>
          <w:p>
            <w:pPr>
              <w:pStyle w:val="Normal"/>
              <w:widowControl w:val="false"/>
              <w:suppressAutoHyphens w:val="true"/>
              <w:spacing w:before="0" w:after="0"/>
              <w:jc w:val="left"/>
              <w:rPr>
                <w:szCs w:val="28"/>
              </w:rPr>
            </w:pPr>
            <w:r>
              <w:rPr>
                <w:kern w:val="0"/>
                <w:szCs w:val="28"/>
                <w:lang w:val="ru-RU" w:bidi="ar-SA"/>
              </w:rPr>
              <w:t>Срок проведения отбора</w:t>
            </w:r>
          </w:p>
        </w:tc>
        <w:tc>
          <w:tcPr>
            <w:tcW w:w="7372"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с 2</w:t>
            </w:r>
            <w:r>
              <w:rPr>
                <w:kern w:val="0"/>
                <w:szCs w:val="28"/>
                <w:lang w:val="ru-RU" w:bidi="ar-SA"/>
              </w:rPr>
              <w:t>7</w:t>
            </w:r>
            <w:r>
              <w:rPr>
                <w:kern w:val="0"/>
                <w:szCs w:val="28"/>
                <w:lang w:val="ru-RU" w:bidi="ar-SA"/>
              </w:rPr>
              <w:t>.01.2024 по 2</w:t>
            </w:r>
            <w:r>
              <w:rPr>
                <w:kern w:val="0"/>
                <w:szCs w:val="28"/>
                <w:lang w:val="ru-RU" w:bidi="ar-SA"/>
              </w:rPr>
              <w:t>7</w:t>
            </w:r>
            <w:r>
              <w:rPr>
                <w:kern w:val="0"/>
                <w:szCs w:val="28"/>
                <w:lang w:val="ru-RU" w:bidi="ar-SA"/>
              </w:rPr>
              <w:t>.02.2024 (включительно);</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начала подачи приема заявок </w:t>
            </w:r>
          </w:p>
        </w:tc>
        <w:tc>
          <w:tcPr>
            <w:tcW w:w="7372"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2</w:t>
            </w:r>
            <w:r>
              <w:rPr>
                <w:kern w:val="0"/>
                <w:szCs w:val="28"/>
                <w:lang w:val="ru-RU" w:bidi="ar-SA"/>
              </w:rPr>
              <w:t>7</w:t>
            </w:r>
            <w:r>
              <w:rPr>
                <w:kern w:val="0"/>
                <w:szCs w:val="28"/>
                <w:lang w:val="ru-RU" w:bidi="ar-SA"/>
              </w:rPr>
              <w:t>.01.2024</w:t>
            </w:r>
          </w:p>
          <w:p>
            <w:pPr>
              <w:pStyle w:val="Normal"/>
              <w:widowControl w:val="false"/>
              <w:tabs>
                <w:tab w:val="clear" w:pos="708"/>
                <w:tab w:val="left" w:pos="851" w:leader="none"/>
              </w:tabs>
              <w:suppressAutoHyphens w:val="true"/>
              <w:spacing w:before="0" w:after="0"/>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3.</w:t>
            </w:r>
          </w:p>
        </w:tc>
        <w:tc>
          <w:tcPr>
            <w:tcW w:w="2276" w:type="dxa"/>
            <w:tcBorders/>
          </w:tcPr>
          <w:p>
            <w:pPr>
              <w:pStyle w:val="Normal"/>
              <w:widowControl w:val="false"/>
              <w:suppressAutoHyphens w:val="true"/>
              <w:spacing w:before="0" w:after="0"/>
              <w:jc w:val="left"/>
              <w:rPr>
                <w:szCs w:val="28"/>
              </w:rPr>
            </w:pPr>
            <w:r>
              <w:rPr>
                <w:kern w:val="0"/>
                <w:szCs w:val="28"/>
                <w:lang w:val="ru-RU" w:bidi="ar-SA"/>
              </w:rPr>
              <w:t>Результат предоставления субсидии</w:t>
            </w:r>
          </w:p>
        </w:tc>
        <w:tc>
          <w:tcPr>
            <w:tcW w:w="7372" w:type="dxa"/>
            <w:tcBorders/>
          </w:tcPr>
          <w:p>
            <w:pPr>
              <w:pStyle w:val="Normal"/>
              <w:widowControl w:val="false"/>
              <w:suppressAutoHyphens w:val="true"/>
              <w:spacing w:before="0" w:after="0"/>
              <w:ind w:firstLine="598"/>
              <w:jc w:val="both"/>
              <w:rPr>
                <w:szCs w:val="28"/>
              </w:rPr>
            </w:pPr>
            <w:r>
              <w:rPr>
                <w:kern w:val="0"/>
                <w:szCs w:val="28"/>
                <w:lang w:val="ru-RU" w:bidi="ar-SA"/>
              </w:rPr>
              <w:t xml:space="preserve">Результатом предоставления субсидии является </w:t>
            </w:r>
            <w:r>
              <w:rPr>
                <w:rFonts w:eastAsia="Calibri" w:eastAsiaTheme="minorHAnsi"/>
                <w:kern w:val="0"/>
                <w:szCs w:val="28"/>
                <w:lang w:val="ru-RU" w:eastAsia="en-US" w:bidi="ar-SA"/>
              </w:rPr>
              <w:t>объем реализованной электрической энергии (мощности)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2024 год по состоянию на 31 декабря 2024 года.</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4.</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7372"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en-US" w:bidi="ar-SA"/>
              </w:rPr>
              <w:t>www</w:t>
            </w:r>
            <w:r>
              <w:rPr>
                <w:kern w:val="0"/>
                <w:szCs w:val="28"/>
                <w:lang w:val="ru-RU" w:bidi="ar-SA"/>
              </w:rPr>
              <w:t>.</w:t>
            </w:r>
            <w:r>
              <w:rPr>
                <w:kern w:val="0"/>
                <w:szCs w:val="28"/>
                <w:lang w:val="en-US" w:bidi="ar-SA"/>
              </w:rPr>
              <w:t>kamgov</w:t>
            </w:r>
            <w:r>
              <w:rPr>
                <w:kern w:val="0"/>
                <w:szCs w:val="28"/>
                <w:lang w:val="ru-RU" w:bidi="ar-SA"/>
              </w:rPr>
              <w:t>.</w:t>
            </w:r>
            <w:r>
              <w:rPr>
                <w:kern w:val="0"/>
                <w:szCs w:val="28"/>
                <w:lang w:val="en-US" w:bidi="ar-SA"/>
              </w:rPr>
              <w:t>ru</w:t>
            </w:r>
            <w:r>
              <w:rPr>
                <w:kern w:val="0"/>
                <w:szCs w:val="28"/>
                <w:lang w:val="ru-RU" w:bidi="ar-SA"/>
              </w:rPr>
              <w:t>/</w:t>
            </w:r>
            <w:r>
              <w:rPr>
                <w:kern w:val="0"/>
                <w:szCs w:val="28"/>
                <w:lang w:val="en-US" w:bidi="ar-SA"/>
              </w:rPr>
              <w:t>minzkh</w:t>
            </w:r>
            <w:r>
              <w:rPr>
                <w:kern w:val="0"/>
                <w:szCs w:val="28"/>
                <w:lang w:val="ru-RU" w:bidi="ar-SA"/>
              </w:rPr>
              <w:t xml:space="preserve"> в разделе «Текущая деятельность» (вкладка «Отбор на предоставление субсидий», ссылка </w:t>
            </w:r>
            <w:hyperlink r:id="rId2">
              <w:r>
                <w:rPr>
                  <w:rStyle w:val="Style15"/>
                  <w:kern w:val="0"/>
                  <w:szCs w:val="28"/>
                  <w:lang w:val="ru-RU" w:bidi="ar-SA"/>
                </w:rPr>
                <w:t>https://www.kamgov.ru/minzkh/current_activities/test/otbor_na_predstovlenie_subsidii</w:t>
              </w:r>
            </w:hyperlink>
            <w:r>
              <w:rPr>
                <w:kern w:val="0"/>
                <w:szCs w:val="28"/>
                <w:lang w:val="ru-RU" w:bidi="ar-SA"/>
              </w:rPr>
              <w:t>)</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5.</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Категория и требования, которым должны соответствовать участники отбора </w:t>
            </w:r>
          </w:p>
        </w:tc>
        <w:tc>
          <w:tcPr>
            <w:tcW w:w="7372" w:type="dxa"/>
            <w:tcBorders/>
          </w:tcPr>
          <w:p>
            <w:pPr>
              <w:pStyle w:val="Normal"/>
              <w:widowControl w:val="false"/>
              <w:suppressAutoHyphens w:val="true"/>
              <w:spacing w:before="0" w:after="0"/>
              <w:ind w:firstLine="598"/>
              <w:jc w:val="both"/>
              <w:rPr>
                <w:rFonts w:eastAsia="Calibri"/>
                <w:szCs w:val="28"/>
                <w:lang w:eastAsia="en-US"/>
              </w:rPr>
            </w:pPr>
            <w:r>
              <w:rPr>
                <w:kern w:val="0"/>
                <w:szCs w:val="28"/>
                <w:lang w:val="ru-RU" w:bidi="ar-SA"/>
              </w:rPr>
              <w:t xml:space="preserve">К категории получателей субсидии относятся </w:t>
            </w:r>
            <w:r>
              <w:rPr>
                <w:rFonts w:eastAsia="Calibri" w:eastAsiaTheme="minorHAnsi"/>
                <w:kern w:val="0"/>
                <w:szCs w:val="28"/>
                <w:lang w:val="ru-RU" w:eastAsia="en-US" w:bidi="ar-SA"/>
              </w:rPr>
              <w:t>юридические лица – гарантирующие поставщики, реализующие электрическую энергию (мощность)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прошедшие процедуру государственного регулирования тарифов.</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Требования, предъявляемые к участникам отбора:</w:t>
            </w:r>
          </w:p>
          <w:p>
            <w:pPr>
              <w:pStyle w:val="Normal"/>
              <w:widowControl w:val="false"/>
              <w:suppressAutoHyphens w:val="true"/>
              <w:spacing w:before="0" w:after="0"/>
              <w:ind w:firstLine="598"/>
              <w:jc w:val="both"/>
              <w:rPr>
                <w:rFonts w:eastAsia="Calibri"/>
                <w:szCs w:val="28"/>
                <w:lang w:eastAsia="en-US"/>
              </w:rPr>
            </w:pPr>
            <w:bookmarkStart w:id="1" w:name="P89"/>
            <w:bookmarkEnd w:id="1"/>
            <w:r>
              <w:rPr>
                <w:rFonts w:eastAsia="Calibri" w:eastAsiaTheme="minorHAnsi"/>
                <w:kern w:val="0"/>
                <w:szCs w:val="28"/>
                <w:lang w:val="ru-RU" w:eastAsia="en-US" w:bidi="ar-SA"/>
              </w:rPr>
              <w:t>1) соответствие участника отбора на первое число месяца, в котором подается заявка, следующим требованиям:</w:t>
            </w:r>
          </w:p>
          <w:p>
            <w:pPr>
              <w:pStyle w:val="Normal"/>
              <w:widowControl w:val="false"/>
              <w:suppressAutoHyphens w:val="true"/>
              <w:spacing w:before="0" w:after="0"/>
              <w:ind w:firstLine="598"/>
              <w:jc w:val="both"/>
              <w:rPr>
                <w:rFonts w:eastAsia="Calibri"/>
                <w:szCs w:val="28"/>
                <w:lang w:eastAsia="en-US"/>
              </w:rPr>
            </w:pPr>
            <w:r>
              <w:rPr>
                <w:b w:val="false"/>
                <w:kern w:val="0"/>
                <w:sz w:val="28"/>
                <w:szCs w:val="24"/>
                <w:lang w:val="ru-RU" w:bidi="ar-SA"/>
              </w:rPr>
              <w:t>а)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Pr>
                <w:b w:val="false"/>
                <w:kern w:val="0"/>
                <w:sz w:val="24"/>
                <w:lang w:val="ru-RU" w:bidi="ar-SA"/>
              </w:rPr>
              <w:t xml:space="preserve"> </w:t>
            </w:r>
          </w:p>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 xml:space="preserve">б) участник отбора не получает средства из краевого бюджета на основании иных нормативных правовых актов Камчатского края на цели, указанные в </w:t>
            </w:r>
            <w:hyperlink r:id="rId3">
              <w:r>
                <w:rPr>
                  <w:rFonts w:eastAsia="Calibri" w:eastAsiaTheme="minorHAnsi"/>
                  <w:kern w:val="0"/>
                  <w:szCs w:val="28"/>
                  <w:lang w:val="ru-RU" w:eastAsia="en-US" w:bidi="ar-SA"/>
                </w:rPr>
                <w:t>части 1</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2) установление для участника отбора Региональной службой по тарифам и ценам Камчатского края (далее – РСТ Камчатского края):</w:t>
            </w:r>
          </w:p>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 xml:space="preserve">а) цен (тарифов) на электрическую энергию (мощность), поставляемую покупателям электрической энергии (мощности), с учетом их доведения до планируемых на следующий период регулирования базовых уровней цен (тарифов) на электрическую энергию (мощность), утверждаемых Правительством Российской Федерации, в соответствии с </w:t>
            </w:r>
            <w:hyperlink r:id="rId4">
              <w:r>
                <w:rPr>
                  <w:rFonts w:eastAsia="Calibri" w:eastAsiaTheme="minorHAnsi"/>
                  <w:kern w:val="0"/>
                  <w:szCs w:val="28"/>
                  <w:lang w:val="ru-RU" w:eastAsia="en-US" w:bidi="ar-SA"/>
                </w:rPr>
                <w:t>постановлением</w:t>
              </w:r>
            </w:hyperlink>
            <w:r>
              <w:rPr>
                <w:rFonts w:eastAsia="Calibri" w:eastAsiaTheme="minorHAnsi"/>
                <w:kern w:val="0"/>
                <w:szCs w:val="28"/>
                <w:lang w:val="ru-RU" w:eastAsia="en-US" w:bidi="ar-SA"/>
              </w:rPr>
              <w:t xml:space="preserve">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w:t>
            </w:r>
          </w:p>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б) размеров недополученных доходов получателей субсидии на 2024 год;</w:t>
            </w:r>
          </w:p>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3) фактическое оказание участником отбора услуги по отпуску электрической энергии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6.</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Документы, которые необходимо предоставить для участия в отборе </w:t>
            </w:r>
          </w:p>
        </w:tc>
        <w:tc>
          <w:tcPr>
            <w:tcW w:w="7372" w:type="dxa"/>
            <w:tcBorders/>
          </w:tcPr>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 xml:space="preserve">Заявка оформляется по форме, </w:t>
            </w:r>
            <w:r>
              <w:rPr>
                <w:kern w:val="0"/>
                <w:szCs w:val="28"/>
                <w:lang w:val="ru-RU" w:bidi="ar-SA"/>
              </w:rPr>
              <w:t>утвержденной приказом Министерства от 27.01.2022 № 20-13</w:t>
            </w:r>
            <w:r>
              <w:rPr>
                <w:rFonts w:eastAsia="Calibri" w:eastAsiaTheme="minorHAnsi"/>
                <w:kern w:val="0"/>
                <w:szCs w:val="28"/>
                <w:lang w:val="ru-RU" w:eastAsia="en-US" w:bidi="ar-SA"/>
              </w:rPr>
              <w:t>, и должна содержать:</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1) следующие сведения об участнике отбора, подавшем заявку:</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2) справку, подписанную руководителем участника отбора, подтверждающую, что участник отбора соответствует требованиям, установленным </w:t>
            </w:r>
            <w:hyperlink r:id="rId5">
              <w:r>
                <w:rPr>
                  <w:rFonts w:eastAsia="Calibri" w:eastAsiaTheme="minorHAnsi"/>
                  <w:kern w:val="0"/>
                  <w:szCs w:val="28"/>
                  <w:lang w:val="ru-RU" w:eastAsia="en-US" w:bidi="ar-SA"/>
                </w:rPr>
                <w:t>пунктом 1 части 8</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40"/>
              <w:jc w:val="both"/>
              <w:rPr>
                <w:rFonts w:eastAsia="Calibri"/>
                <w:szCs w:val="28"/>
                <w:lang w:eastAsia="en-US"/>
              </w:rPr>
            </w:pPr>
            <w:r>
              <w:rPr>
                <w:rFonts w:eastAsia="Calibri" w:eastAsiaTheme="minorHAnsi"/>
                <w:kern w:val="0"/>
                <w:szCs w:val="28"/>
                <w:lang w:val="ru-RU" w:eastAsia="en-US" w:bidi="ar-SA"/>
              </w:rPr>
              <w:t xml:space="preserve">3) информацию о плановых объемах оказания услуги по отпуску электрической энергии покупателям на территории Камчатского края, не относящимся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по форме, утвержденной приказом Министерства от 22.08.2022 № 20-307 (ссылка </w:t>
            </w:r>
            <w:hyperlink r:id="rId6">
              <w:r>
                <w:rPr>
                  <w:rStyle w:val="Style15"/>
                  <w:rFonts w:eastAsia="Calibri" w:eastAsiaTheme="minorHAnsi"/>
                  <w:kern w:val="0"/>
                  <w:szCs w:val="28"/>
                  <w:lang w:val="ru-RU" w:eastAsia="en-US" w:bidi="ar-SA"/>
                </w:rPr>
                <w:t>https://minzkh.kamgov.ru/current_activities/test/otbor_na_predstovlenie_subsidii/normativnye-dokumenty</w:t>
              </w:r>
            </w:hyperlink>
            <w:r>
              <w:rPr>
                <w:rFonts w:eastAsia="Calibri" w:eastAsiaTheme="minorHAnsi"/>
                <w:kern w:val="0"/>
                <w:szCs w:val="28"/>
                <w:lang w:val="ru-RU" w:eastAsia="en-US" w:bidi="ar-SA"/>
              </w:rPr>
              <w:t xml:space="preserve">) </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7.</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Заявка на участие в отборе предоставляется в порядке и по форме, установленной Министерством</w:t>
            </w:r>
          </w:p>
        </w:tc>
        <w:tc>
          <w:tcPr>
            <w:tcW w:w="7372"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 xml:space="preserve">Заявка должна соответствовать форме, утвержденной приказом Министерства от 27.01.2022 № 20-13 (ссылка </w:t>
            </w:r>
            <w:hyperlink r:id="rId7">
              <w:r>
                <w:rPr>
                  <w:rStyle w:val="Style15"/>
                  <w:kern w:val="0"/>
                  <w:szCs w:val="28"/>
                  <w:lang w:val="ru-RU" w:bidi="ar-SA"/>
                </w:rPr>
                <w:t>https://minzkh.kamgov.ru/current_activities/test/otbor_na_predstovlenie_subsidii/normativnye-dokumenty</w:t>
              </w:r>
            </w:hyperlink>
            <w:r>
              <w:rPr>
                <w:kern w:val="0"/>
                <w:szCs w:val="28"/>
                <w:lang w:val="ru-RU" w:bidi="ar-SA"/>
              </w:rPr>
              <w:t xml:space="preserve">) </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8.</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отзыва заявки участником отбора </w:t>
            </w:r>
          </w:p>
        </w:tc>
        <w:tc>
          <w:tcPr>
            <w:tcW w:w="7372" w:type="dxa"/>
            <w:tcBorders/>
          </w:tcPr>
          <w:p>
            <w:pPr>
              <w:pStyle w:val="Normal"/>
              <w:widowControl w:val="false"/>
              <w:tabs>
                <w:tab w:val="clear" w:pos="708"/>
                <w:tab w:val="left" w:pos="851" w:leader="none"/>
              </w:tabs>
              <w:suppressAutoHyphens w:val="true"/>
              <w:spacing w:before="0" w:after="0"/>
              <w:ind w:firstLine="598"/>
              <w:jc w:val="both"/>
              <w:rPr>
                <w:szCs w:val="28"/>
              </w:rPr>
            </w:pPr>
            <w:r>
              <w:rPr>
                <w:kern w:val="0"/>
                <w:szCs w:val="28"/>
                <w:lang w:val="ru-RU" w:bidi="ar-SA"/>
              </w:rPr>
              <w:t>Заявка может быть отозвана в срок, не позднее двух рабочих дней до окончания срока приема заявок. Отзыв заявки осуществляется путем направления в Министерство в период проведения отбора уведомления об отзыве заявки.</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9.</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уведомления участников отбора об отклонении заявок </w:t>
            </w:r>
          </w:p>
        </w:tc>
        <w:tc>
          <w:tcPr>
            <w:tcW w:w="7372" w:type="dxa"/>
            <w:tcBorders/>
          </w:tcPr>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 xml:space="preserve">В случае отклонения заявки (заявок) Министерство в течение пяти рабочих дней после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hyperlink r:id="rId8">
              <w:r>
                <w:rPr>
                  <w:rFonts w:eastAsia="Calibri" w:eastAsiaTheme="minorHAnsi"/>
                  <w:kern w:val="0"/>
                  <w:szCs w:val="28"/>
                  <w:lang w:val="ru-RU" w:eastAsia="en-US" w:bidi="ar-SA"/>
                </w:rPr>
                <w:t>частью 2</w:t>
              </w:r>
            </w:hyperlink>
            <w:r>
              <w:rPr>
                <w:rFonts w:eastAsia="Calibri" w:eastAsiaTheme="minorHAnsi"/>
                <w:kern w:val="0"/>
                <w:szCs w:val="28"/>
                <w:lang w:val="ru-RU" w:eastAsia="en-US" w:bidi="ar-SA"/>
              </w:rPr>
              <w:t>3 Порядка.</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10.</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внесения изменений в заявки </w:t>
            </w:r>
          </w:p>
        </w:tc>
        <w:tc>
          <w:tcPr>
            <w:tcW w:w="7372" w:type="dxa"/>
            <w:tcBorders/>
          </w:tcPr>
          <w:p>
            <w:pPr>
              <w:pStyle w:val="Normal"/>
              <w:widowControl w:val="false"/>
              <w:suppressAutoHyphens w:val="true"/>
              <w:spacing w:before="0" w:after="0"/>
              <w:ind w:firstLine="598"/>
              <w:jc w:val="both"/>
              <w:rPr>
                <w:szCs w:val="28"/>
              </w:rPr>
            </w:pPr>
            <w:r>
              <w:rPr>
                <w:kern w:val="0"/>
                <w:szCs w:val="28"/>
                <w:lang w:val="ru-RU" w:bidi="ar-SA"/>
              </w:rPr>
              <w:t>Внесение изменений в заявку осуществляется путем направления необходимых сведений в Министерство в период проведения отбора.</w:t>
            </w:r>
          </w:p>
          <w:p>
            <w:pPr>
              <w:pStyle w:val="Normal"/>
              <w:widowControl w:val="false"/>
              <w:tabs>
                <w:tab w:val="clear" w:pos="708"/>
                <w:tab w:val="left" w:pos="851" w:leader="none"/>
              </w:tabs>
              <w:suppressAutoHyphens w:val="true"/>
              <w:spacing w:before="0" w:after="0"/>
              <w:ind w:firstLine="598"/>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11.</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Правила рассмотрения и оценки заявок </w:t>
            </w:r>
          </w:p>
        </w:tc>
        <w:tc>
          <w:tcPr>
            <w:tcW w:w="7372" w:type="dxa"/>
            <w:tcBorders/>
          </w:tcPr>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hyperlink r:id="rId9">
              <w:r>
                <w:rPr>
                  <w:rFonts w:eastAsia="Calibri" w:eastAsiaTheme="minorHAnsi"/>
                  <w:kern w:val="0"/>
                  <w:szCs w:val="28"/>
                  <w:lang w:val="ru-RU" w:eastAsia="en-US" w:bidi="ar-SA"/>
                </w:rPr>
                <w:t>частью 9</w:t>
              </w:r>
            </w:hyperlink>
            <w:r>
              <w:rPr>
                <w:rFonts w:eastAsia="Calibri" w:eastAsiaTheme="minorHAnsi"/>
                <w:kern w:val="0"/>
                <w:szCs w:val="28"/>
                <w:lang w:val="ru-RU" w:eastAsia="en-US" w:bidi="ar-SA"/>
              </w:rPr>
              <w:t xml:space="preserve"> Порядка, а участник (участники) отбора при этом соответствует (соответствуют) категории и требованиям, установленным </w:t>
            </w:r>
            <w:hyperlink r:id="rId10">
              <w:r>
                <w:rPr>
                  <w:rFonts w:eastAsia="Calibri" w:eastAsiaTheme="minorHAnsi"/>
                  <w:kern w:val="0"/>
                  <w:szCs w:val="28"/>
                  <w:lang w:val="ru-RU" w:eastAsia="en-US" w:bidi="ar-SA"/>
                </w:rPr>
                <w:t>частями 5</w:t>
              </w:r>
            </w:hyperlink>
            <w:r>
              <w:rPr>
                <w:rFonts w:eastAsia="Calibri" w:eastAsiaTheme="minorHAnsi"/>
                <w:kern w:val="0"/>
                <w:szCs w:val="28"/>
                <w:lang w:val="ru-RU" w:eastAsia="en-US" w:bidi="ar-SA"/>
              </w:rPr>
              <w:t xml:space="preserve"> и </w:t>
            </w:r>
            <w:hyperlink r:id="rId11">
              <w:r>
                <w:rPr>
                  <w:rFonts w:eastAsia="Calibri" w:eastAsiaTheme="minorHAnsi"/>
                  <w:kern w:val="0"/>
                  <w:szCs w:val="28"/>
                  <w:lang w:val="ru-RU" w:eastAsia="en-US" w:bidi="ar-SA"/>
                </w:rPr>
                <w:t>8</w:t>
              </w:r>
            </w:hyperlink>
            <w:r>
              <w:rPr>
                <w:rFonts w:eastAsia="Calibri" w:eastAsiaTheme="minorHAnsi"/>
                <w:kern w:val="0"/>
                <w:szCs w:val="28"/>
                <w:lang w:val="ru-RU" w:eastAsia="en-US" w:bidi="ar-SA"/>
              </w:rPr>
              <w:t xml:space="preserve"> Порядка.</w:t>
            </w:r>
          </w:p>
          <w:p>
            <w:pPr>
              <w:pStyle w:val="Normal"/>
              <w:widowControl w:val="false"/>
              <w:suppressAutoHyphens w:val="true"/>
              <w:spacing w:before="0" w:after="0"/>
              <w:ind w:firstLine="598"/>
              <w:jc w:val="both"/>
              <w:rPr>
                <w:rFonts w:eastAsia="Calibri"/>
                <w:szCs w:val="28"/>
                <w:lang w:eastAsia="en-US"/>
              </w:rPr>
            </w:pPr>
            <w:r>
              <w:rPr>
                <w:rFonts w:eastAsia="Calibri"/>
                <w:szCs w:val="28"/>
                <w:lang w:eastAsia="en-US"/>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12.</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7372" w:type="dxa"/>
            <w:tcBorders/>
          </w:tcPr>
          <w:p>
            <w:pPr>
              <w:pStyle w:val="Normal"/>
              <w:widowControl w:val="false"/>
              <w:suppressAutoHyphens w:val="true"/>
              <w:spacing w:before="0" w:after="0"/>
              <w:ind w:firstLine="596"/>
              <w:jc w:val="both"/>
              <w:rPr>
                <w:rFonts w:eastAsia="Calibri"/>
                <w:szCs w:val="28"/>
                <w:lang w:eastAsia="en-US"/>
              </w:rPr>
            </w:pPr>
            <w:r>
              <w:rPr>
                <w:rFonts w:eastAsia="Calibri" w:eastAsiaTheme="minorHAnsi"/>
                <w:kern w:val="0"/>
                <w:szCs w:val="28"/>
                <w:lang w:val="ru-RU" w:eastAsia="en-US" w:bidi="ar-SA"/>
              </w:rPr>
              <w:t>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pPr>
              <w:pStyle w:val="Normal"/>
              <w:widowControl w:val="false"/>
              <w:suppressAutoHyphens w:val="true"/>
              <w:spacing w:before="0" w:after="0"/>
              <w:ind w:firstLine="596"/>
              <w:jc w:val="both"/>
              <w:rPr>
                <w:rFonts w:eastAsia="Calibri"/>
                <w:szCs w:val="28"/>
                <w:lang w:eastAsia="en-US"/>
              </w:rPr>
            </w:pPr>
            <w:r>
              <w:rPr>
                <w:rFonts w:eastAsia="Calibri" w:eastAsiaTheme="minorHAnsi"/>
                <w:kern w:val="0"/>
                <w:szCs w:val="28"/>
                <w:lang w:val="ru-RU" w:eastAsia="en-US" w:bidi="ar-SA"/>
              </w:rPr>
              <w:t>Министерство в течение трех рабочих дней после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pPr>
              <w:pStyle w:val="Normal"/>
              <w:widowControl w:val="false"/>
              <w:suppressAutoHyphens w:val="true"/>
              <w:spacing w:before="0" w:after="0"/>
              <w:ind w:firstLine="596"/>
              <w:jc w:val="both"/>
              <w:rPr>
                <w:szCs w:val="28"/>
              </w:rPr>
            </w:pPr>
            <w:r>
              <w:rPr>
                <w:rFonts w:eastAsia="Calibri" w:eastAsiaTheme="minorHAnsi"/>
                <w:kern w:val="0"/>
                <w:szCs w:val="28"/>
                <w:lang w:val="ru-RU" w:eastAsia="en-US" w:bidi="ar-SA"/>
              </w:rPr>
              <w:t>Запросы, поступившие позднее,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13.</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Сроки подписания победителем (победителями) отбора соглашения о предоставлении субсидии (далее – соглашение) </w:t>
            </w:r>
          </w:p>
        </w:tc>
        <w:tc>
          <w:tcPr>
            <w:tcW w:w="7372" w:type="dxa"/>
            <w:tcBorders/>
          </w:tcPr>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Победитель отбора, которому направлен для подписания проект соглашения в двух экземплярах, в течение пяти рабочих дней после дня получения проекта соглашения подписывает его и возвращает в Министерство два экземпляра проекта соглашения.</w:t>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14.</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Условия признания победителя (победителей) отбора уклонившимся (уклонившимися) от заключения соглашения </w:t>
            </w:r>
          </w:p>
        </w:tc>
        <w:tc>
          <w:tcPr>
            <w:tcW w:w="7372" w:type="dxa"/>
            <w:tcBorders/>
          </w:tcPr>
          <w:p>
            <w:pPr>
              <w:pStyle w:val="Normal"/>
              <w:widowControl w:val="false"/>
              <w:suppressAutoHyphens w:val="true"/>
              <w:spacing w:before="0" w:after="0"/>
              <w:ind w:firstLine="598"/>
              <w:jc w:val="both"/>
              <w:rPr>
                <w:rFonts w:eastAsia="Calibri"/>
                <w:szCs w:val="28"/>
                <w:lang w:eastAsia="en-US"/>
              </w:rPr>
            </w:pPr>
            <w:r>
              <w:rPr>
                <w:rFonts w:eastAsia="Calibri" w:eastAsiaTheme="minorHAnsi"/>
                <w:kern w:val="0"/>
                <w:szCs w:val="28"/>
                <w:lang w:val="ru-RU" w:eastAsia="en-US" w:bidi="ar-SA"/>
              </w:rPr>
              <w:t xml:space="preserve">В случае нарушения победителем отбора порядка подписания Соглашения, установленного </w:t>
            </w:r>
            <w:hyperlink r:id="rId12">
              <w:r>
                <w:rPr>
                  <w:rFonts w:eastAsia="Calibri" w:eastAsiaTheme="minorHAnsi"/>
                  <w:kern w:val="0"/>
                  <w:szCs w:val="28"/>
                  <w:lang w:val="ru-RU" w:eastAsia="en-US" w:bidi="ar-SA"/>
                </w:rPr>
                <w:t>частью 2</w:t>
              </w:r>
            </w:hyperlink>
            <w:r>
              <w:rPr>
                <w:rFonts w:eastAsia="Calibri" w:eastAsiaTheme="minorHAnsi"/>
                <w:kern w:val="0"/>
                <w:szCs w:val="28"/>
                <w:lang w:val="ru-RU" w:eastAsia="en-US" w:bidi="ar-SA"/>
              </w:rPr>
              <w:t>7 Порядка, или в случае наличия недостоверных сведений в проекте соглашения победитель отбора признается уклонившимся от заключения Соглашения.</w:t>
            </w:r>
          </w:p>
          <w:p>
            <w:pPr>
              <w:pStyle w:val="Normal"/>
              <w:widowControl w:val="false"/>
              <w:tabs>
                <w:tab w:val="clear" w:pos="708"/>
                <w:tab w:val="left" w:pos="1134" w:leader="none"/>
              </w:tabs>
              <w:suppressAutoHyphens w:val="true"/>
              <w:spacing w:before="0" w:after="0"/>
              <w:ind w:firstLine="598"/>
              <w:jc w:val="both"/>
              <w:rPr>
                <w:szCs w:val="28"/>
              </w:rPr>
            </w:pPr>
            <w:r>
              <w:rPr>
                <w:szCs w:val="28"/>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15.</w:t>
            </w:r>
          </w:p>
        </w:tc>
        <w:tc>
          <w:tcPr>
            <w:tcW w:w="2276" w:type="dxa"/>
            <w:tcBorders/>
          </w:tcPr>
          <w:p>
            <w:pPr>
              <w:pStyle w:val="Normal"/>
              <w:widowControl w:val="false"/>
              <w:tabs>
                <w:tab w:val="clear" w:pos="708"/>
                <w:tab w:val="left" w:pos="851" w:leader="none"/>
              </w:tabs>
              <w:suppressAutoHyphens w:val="true"/>
              <w:spacing w:before="0" w:after="0"/>
              <w:jc w:val="left"/>
              <w:rPr>
                <w:szCs w:val="28"/>
              </w:rPr>
            </w:pPr>
            <w:r>
              <w:rPr>
                <w:kern w:val="0"/>
                <w:szCs w:val="28"/>
                <w:lang w:val="ru-RU" w:bidi="ar-SA"/>
              </w:rPr>
              <w:t xml:space="preserve">Дата размещения результатов отбора на едином портале и на официальном сайте Министерства </w:t>
            </w:r>
          </w:p>
        </w:tc>
        <w:tc>
          <w:tcPr>
            <w:tcW w:w="7372" w:type="dxa"/>
            <w:tcBorders/>
          </w:tcPr>
          <w:p>
            <w:pPr>
              <w:pStyle w:val="Normal"/>
              <w:widowControl w:val="false"/>
              <w:suppressAutoHyphens w:val="true"/>
              <w:spacing w:before="0" w:after="0"/>
              <w:ind w:firstLine="603"/>
              <w:jc w:val="both"/>
              <w:rPr/>
            </w:pPr>
            <w:r>
              <w:rPr>
                <w:kern w:val="0"/>
                <w:sz w:val="28"/>
                <w:szCs w:val="28"/>
                <w:lang w:val="ru-RU" w:bidi="ar-SA"/>
              </w:rPr>
              <w:t>Министерство в срок не позднее 1</w:t>
            </w:r>
            <w:r>
              <w:rPr>
                <w:kern w:val="0"/>
                <w:sz w:val="28"/>
                <w:szCs w:val="28"/>
                <w:lang w:val="ru-RU" w:bidi="ar-SA"/>
              </w:rPr>
              <w:t>2</w:t>
            </w:r>
            <w:r>
              <w:rPr>
                <w:kern w:val="0"/>
                <w:sz w:val="28"/>
                <w:szCs w:val="28"/>
                <w:lang w:val="ru-RU" w:bidi="ar-SA"/>
              </w:rPr>
              <w:t>.03.2024 (</w:t>
            </w:r>
            <w:r>
              <w:rPr>
                <w:rFonts w:eastAsia="Calibri" w:eastAsiaTheme="minorHAnsi"/>
                <w:kern w:val="0"/>
                <w:sz w:val="28"/>
                <w:szCs w:val="28"/>
                <w:lang w:val="ru-RU" w:eastAsia="en-US" w:bidi="ar-SA"/>
              </w:rPr>
              <w:t xml:space="preserve">не позднее десяти рабочих дней после дня завершения отбора) </w:t>
            </w:r>
            <w:r>
              <w:rPr>
                <w:kern w:val="0"/>
                <w:sz w:val="28"/>
                <w:szCs w:val="28"/>
                <w:lang w:val="ru-RU" w:bidi="ar-SA"/>
              </w:rPr>
              <w:t>размещает на едином портале и на официальном сайте Министерства (</w:t>
            </w:r>
            <w:hyperlink r:id="rId13">
              <w:r>
                <w:rPr>
                  <w:rStyle w:val="Style15"/>
                  <w:kern w:val="0"/>
                  <w:sz w:val="28"/>
                  <w:szCs w:val="28"/>
                  <w:lang w:val="ru-RU" w:bidi="ar-SA"/>
                </w:rPr>
                <w:t>https://minzkh.kamgov.ru/rezultat-provedenia-otbora</w:t>
              </w:r>
            </w:hyperlink>
            <w:r>
              <w:rPr>
                <w:kern w:val="0"/>
                <w:sz w:val="28"/>
                <w:szCs w:val="28"/>
                <w:lang w:val="ru-RU" w:bidi="ar-SA"/>
              </w:rPr>
              <w:t>) информацию о результатах отбора, включающую:</w:t>
            </w:r>
          </w:p>
          <w:p>
            <w:pPr>
              <w:pStyle w:val="Normal"/>
              <w:widowControl w:val="false"/>
              <w:suppressAutoHyphens w:val="true"/>
              <w:spacing w:before="0" w:after="0"/>
              <w:ind w:firstLine="540"/>
              <w:jc w:val="both"/>
              <w:rPr>
                <w:rFonts w:ascii="Times New Roman" w:hAnsi="Times New Roman"/>
                <w:b w:val="false"/>
                <w:b w:val="false"/>
                <w:kern w:val="0"/>
                <w:sz w:val="28"/>
                <w:szCs w:val="28"/>
                <w:lang w:val="ru-RU" w:bidi="ar-SA"/>
              </w:rPr>
            </w:pPr>
            <w:r>
              <w:rPr>
                <w:b w:val="false"/>
                <w:kern w:val="0"/>
                <w:sz w:val="28"/>
                <w:szCs w:val="28"/>
                <w:lang w:val="ru-RU" w:bidi="ar-SA"/>
              </w:rPr>
              <w:t xml:space="preserve">1) дату, время и место проведения рассмотрения заявок; </w:t>
            </w:r>
          </w:p>
          <w:p>
            <w:pPr>
              <w:pStyle w:val="Normal"/>
              <w:widowControl w:val="false"/>
              <w:suppressAutoHyphens w:val="true"/>
              <w:ind w:left="0" w:right="0" w:firstLine="540"/>
              <w:jc w:val="both"/>
              <w:rPr>
                <w:rFonts w:ascii="Times New Roman" w:hAnsi="Times New Roman"/>
                <w:b w:val="false"/>
                <w:b w:val="false"/>
                <w:sz w:val="28"/>
                <w:szCs w:val="28"/>
              </w:rPr>
            </w:pPr>
            <w:r>
              <w:rPr>
                <w:b w:val="false"/>
                <w:sz w:val="28"/>
                <w:szCs w:val="28"/>
              </w:rPr>
              <w:t xml:space="preserve">2) информацию об участниках отбора, заявки которых были рассмотрены; </w:t>
            </w:r>
          </w:p>
          <w:p>
            <w:pPr>
              <w:pStyle w:val="Normal"/>
              <w:widowControl w:val="false"/>
              <w:suppressAutoHyphens w:val="true"/>
              <w:ind w:left="0" w:right="0" w:firstLine="540"/>
              <w:jc w:val="both"/>
              <w:rPr>
                <w:rFonts w:ascii="Times New Roman" w:hAnsi="Times New Roman"/>
                <w:b w:val="false"/>
                <w:b w:val="false"/>
                <w:sz w:val="28"/>
                <w:szCs w:val="28"/>
              </w:rPr>
            </w:pPr>
            <w:r>
              <w:rPr>
                <w:b w:val="false"/>
                <w:sz w:val="28"/>
                <w:szCs w:val="28"/>
              </w:rPr>
              <w:t xml:space="preserve">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 </w:t>
            </w:r>
          </w:p>
          <w:p>
            <w:pPr>
              <w:pStyle w:val="Normal"/>
              <w:widowControl w:val="false"/>
              <w:suppressAutoHyphens w:val="true"/>
              <w:ind w:left="0" w:right="0" w:firstLine="540"/>
              <w:jc w:val="both"/>
              <w:rPr>
                <w:rFonts w:ascii="Times New Roman" w:hAnsi="Times New Roman"/>
                <w:b w:val="false"/>
                <w:b w:val="false"/>
                <w:sz w:val="28"/>
                <w:szCs w:val="28"/>
              </w:rPr>
            </w:pPr>
            <w:r>
              <w:rPr>
                <w:b w:val="false"/>
                <w:sz w:val="28"/>
                <w:szCs w:val="28"/>
              </w:rPr>
              <w:t xml:space="preserve">4) информацию о победителе (победителях) отбора и о размерах предоставляемых ему субсидий. </w:t>
            </w:r>
          </w:p>
          <w:p>
            <w:pPr>
              <w:pStyle w:val="Normal"/>
              <w:widowControl w:val="false"/>
              <w:suppressAutoHyphens w:val="true"/>
              <w:ind w:left="0" w:right="0" w:firstLine="540"/>
              <w:rPr>
                <w:sz w:val="28"/>
                <w:szCs w:val="28"/>
              </w:rPr>
            </w:pPr>
            <w:r>
              <w:rPr>
                <w:sz w:val="28"/>
                <w:szCs w:val="28"/>
              </w:rPr>
            </w:r>
          </w:p>
          <w:p>
            <w:pPr>
              <w:pStyle w:val="ConsPlusNormal1"/>
              <w:widowControl w:val="false"/>
              <w:suppressAutoHyphens w:val="true"/>
              <w:spacing w:before="0" w:after="0"/>
              <w:ind w:firstLine="540"/>
              <w:jc w:val="both"/>
              <w:rPr>
                <w:kern w:val="0"/>
                <w:sz w:val="28"/>
                <w:szCs w:val="28"/>
                <w:lang w:val="ru-RU" w:bidi="ar-SA"/>
              </w:rPr>
            </w:pPr>
            <w:r>
              <w:rPr>
                <w:kern w:val="0"/>
                <w:sz w:val="28"/>
                <w:szCs w:val="28"/>
                <w:lang w:val="ru-RU" w:bidi="ar-SA"/>
              </w:rPr>
            </w:r>
          </w:p>
        </w:tc>
      </w:tr>
      <w:tr>
        <w:trPr/>
        <w:tc>
          <w:tcPr>
            <w:tcW w:w="701" w:type="dxa"/>
            <w:tcBorders/>
          </w:tcPr>
          <w:p>
            <w:pPr>
              <w:pStyle w:val="Normal"/>
              <w:widowControl w:val="false"/>
              <w:tabs>
                <w:tab w:val="clear" w:pos="708"/>
                <w:tab w:val="left" w:pos="851" w:leader="none"/>
              </w:tabs>
              <w:suppressAutoHyphens w:val="true"/>
              <w:spacing w:before="0" w:after="0"/>
              <w:jc w:val="both"/>
              <w:rPr>
                <w:szCs w:val="28"/>
              </w:rPr>
            </w:pPr>
            <w:r>
              <w:rPr>
                <w:kern w:val="0"/>
                <w:szCs w:val="28"/>
                <w:lang w:val="ru-RU" w:bidi="ar-SA"/>
              </w:rPr>
              <w:t>16.</w:t>
            </w:r>
          </w:p>
        </w:tc>
        <w:tc>
          <w:tcPr>
            <w:tcW w:w="2276" w:type="dxa"/>
            <w:tcBorders/>
          </w:tcPr>
          <w:p>
            <w:pPr>
              <w:pStyle w:val="Normal"/>
              <w:widowControl w:val="false"/>
              <w:suppressAutoHyphens w:val="true"/>
              <w:spacing w:before="0" w:after="0"/>
              <w:jc w:val="both"/>
              <w:rPr>
                <w:rFonts w:eastAsia="Calibri"/>
                <w:szCs w:val="28"/>
                <w:lang w:eastAsia="en-US"/>
              </w:rPr>
            </w:pPr>
            <w:r>
              <w:rPr>
                <w:rFonts w:eastAsia="Calibri" w:eastAsiaTheme="minorHAnsi"/>
                <w:kern w:val="0"/>
                <w:szCs w:val="28"/>
                <w:lang w:val="ru-RU" w:eastAsia="en-US" w:bidi="ar-SA"/>
              </w:rPr>
              <w:t>Наименование, место нахождения, почтовый адрес, адрес электронной почты Министерства</w:t>
            </w:r>
          </w:p>
          <w:p>
            <w:pPr>
              <w:pStyle w:val="Normal"/>
              <w:widowControl w:val="false"/>
              <w:tabs>
                <w:tab w:val="clear" w:pos="708"/>
                <w:tab w:val="left" w:pos="851" w:leader="none"/>
              </w:tabs>
              <w:suppressAutoHyphens w:val="true"/>
              <w:spacing w:before="0" w:after="0"/>
              <w:jc w:val="left"/>
              <w:rPr>
                <w:szCs w:val="28"/>
              </w:rPr>
            </w:pPr>
            <w:r>
              <w:rPr>
                <w:szCs w:val="28"/>
              </w:rPr>
            </w:r>
          </w:p>
        </w:tc>
        <w:tc>
          <w:tcPr>
            <w:tcW w:w="7372" w:type="dxa"/>
            <w:tcBorders/>
          </w:tcPr>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сокращенное наименование: Министерство ЖКХ и энергетики Камчатского края;</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место нахождения: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почтовый адрес: 683031, Камчатский край, г. Петропавловск-Камчатский, проспект Карла Маркса, д. 5;</w:t>
            </w:r>
          </w:p>
          <w:p>
            <w:pPr>
              <w:pStyle w:val="ConsPlusNormal1"/>
              <w:widowControl w:val="false"/>
              <w:suppressAutoHyphens w:val="true"/>
              <w:spacing w:before="0" w:after="0"/>
              <w:ind w:firstLine="598"/>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 адрес электронной почты: </w:t>
            </w:r>
            <w:hyperlink r:id="rId14">
              <w:r>
                <w:rPr>
                  <w:rStyle w:val="Style15"/>
                  <w:rFonts w:cs="Times New Roman" w:ascii="Times New Roman" w:hAnsi="Times New Roman"/>
                  <w:kern w:val="0"/>
                  <w:sz w:val="28"/>
                  <w:szCs w:val="28"/>
                  <w:lang w:val="en-US" w:bidi="ar-SA"/>
                </w:rPr>
                <w:t>tek</w:t>
              </w:r>
              <w:r>
                <w:rPr>
                  <w:rStyle w:val="Style15"/>
                  <w:rFonts w:cs="Times New Roman" w:ascii="Times New Roman" w:hAnsi="Times New Roman"/>
                  <w:kern w:val="0"/>
                  <w:sz w:val="28"/>
                  <w:szCs w:val="28"/>
                  <w:lang w:val="ru-RU" w:bidi="ar-SA"/>
                </w:rPr>
                <w:t>1@</w:t>
              </w:r>
              <w:r>
                <w:rPr>
                  <w:rStyle w:val="Style15"/>
                  <w:rFonts w:cs="Times New Roman" w:ascii="Times New Roman" w:hAnsi="Times New Roman"/>
                  <w:kern w:val="0"/>
                  <w:sz w:val="28"/>
                  <w:szCs w:val="28"/>
                  <w:lang w:val="en-US" w:bidi="ar-SA"/>
                </w:rPr>
                <w:t>kamgov</w:t>
              </w:r>
              <w:r>
                <w:rPr>
                  <w:rStyle w:val="Style15"/>
                  <w:rFonts w:cs="Times New Roman" w:ascii="Times New Roman" w:hAnsi="Times New Roman"/>
                  <w:kern w:val="0"/>
                  <w:sz w:val="28"/>
                  <w:szCs w:val="28"/>
                  <w:lang w:val="ru-RU" w:bidi="ar-SA"/>
                </w:rPr>
                <w:t>.</w:t>
              </w:r>
              <w:r>
                <w:rPr>
                  <w:rStyle w:val="Style15"/>
                  <w:rFonts w:cs="Times New Roman" w:ascii="Times New Roman" w:hAnsi="Times New Roman"/>
                  <w:kern w:val="0"/>
                  <w:sz w:val="28"/>
                  <w:szCs w:val="28"/>
                  <w:lang w:val="en-US" w:bidi="ar-SA"/>
                </w:rPr>
                <w:t>ru</w:t>
              </w:r>
            </w:hyperlink>
            <w:r>
              <w:rPr>
                <w:rFonts w:cs="Times New Roman" w:ascii="Times New Roman" w:hAnsi="Times New Roman"/>
                <w:kern w:val="0"/>
                <w:sz w:val="28"/>
                <w:szCs w:val="28"/>
                <w:lang w:val="ru-RU" w:bidi="ar-SA"/>
              </w:rPr>
              <w:t xml:space="preserve"> </w:t>
            </w:r>
          </w:p>
        </w:tc>
      </w:tr>
    </w:tbl>
    <w:p>
      <w:pPr>
        <w:pStyle w:val="Normal"/>
        <w:rPr/>
      </w:pPr>
      <w:r>
        <w:rPr/>
        <mc:AlternateContent>
          <mc:Choice Requires="wps">
            <w:drawing>
              <wp:anchor behindDoc="0" distT="0" distB="5715" distL="0" distR="0" simplePos="0" locked="0" layoutInCell="0" allowOverlap="1" relativeHeight="2" wp14:anchorId="1D3FC32F">
                <wp:simplePos x="0" y="0"/>
                <wp:positionH relativeFrom="margin">
                  <wp:align>left</wp:align>
                </wp:positionH>
                <wp:positionV relativeFrom="margin">
                  <wp:align>bottom</wp:align>
                </wp:positionV>
                <wp:extent cx="3848100" cy="318135"/>
                <wp:effectExtent l="0" t="0" r="0" b="6350"/>
                <wp:wrapNone/>
                <wp:docPr id="1" name="Надпись 1"/>
                <a:graphic xmlns:a="http://schemas.openxmlformats.org/drawingml/2006/main">
                  <a:graphicData uri="http://schemas.microsoft.com/office/word/2010/wordprocessingShape">
                    <wps:wsp>
                      <wps:cNvSpPr/>
                      <wps:spPr>
                        <a:xfrm>
                          <a:off x="0" y="0"/>
                          <a:ext cx="3848040" cy="318240"/>
                        </a:xfrm>
                        <a:prstGeom prst="rect">
                          <a:avLst/>
                        </a:prstGeom>
                        <a:solidFill>
                          <a:srgbClr val="ffffff"/>
                        </a:solidFill>
                        <a:ln w="6350">
                          <a:noFill/>
                        </a:ln>
                      </wps:spPr>
                      <wps:style>
                        <a:lnRef idx="0"/>
                        <a:fillRef idx="0"/>
                        <a:effectRef idx="0"/>
                        <a:fontRef idx="minor"/>
                      </wps:style>
                      <wps:txbx>
                        <w:txbxContent>
                          <w:p>
                            <w:pPr>
                              <w:pStyle w:val="Style24"/>
                              <w:rPr>
                                <w:sz w:val="22"/>
                                <w:szCs w:val="22"/>
                              </w:rPr>
                            </w:pPr>
                            <w:r>
                              <w:rPr>
                                <w:color w:val="000000"/>
                                <w:sz w:val="22"/>
                                <w:szCs w:val="22"/>
                              </w:rPr>
                              <w:t>Исп. Попова Елена Николаевна, 8(4152)42-01-05</w:t>
                            </w:r>
                          </w:p>
                        </w:txbxContent>
                      </wps:txbx>
                      <wps:bodyPr anchor="t">
                        <a:prstTxWarp prst="textNoShape"/>
                        <a:noAutofit/>
                      </wps:bodyPr>
                    </wps:wsp>
                  </a:graphicData>
                </a:graphic>
              </wp:anchor>
            </w:drawing>
          </mc:Choice>
          <mc:Fallback>
            <w:pict>
              <v:rect id="shape_0" ID="Надпись 1" path="m0,0l-2147483645,0l-2147483645,-2147483646l0,-2147483646xe" fillcolor="white" stroked="f" o:allowincell="f" style="position:absolute;margin-left:0pt;margin-top:701.3pt;width:302.95pt;height:25pt;mso-wrap-style:square;v-text-anchor:top;mso-position-horizontal:left;mso-position-horizontal-relative:margin;mso-position-vertical:bottom;mso-position-vertical-relative:margin" wp14:anchorId="1D3FC32F">
                <v:fill o:detectmouseclick="t" type="solid" color2="black"/>
                <v:stroke color="#3465a4" weight="6480" joinstyle="round" endcap="flat"/>
                <v:textbox>
                  <w:txbxContent>
                    <w:p>
                      <w:pPr>
                        <w:pStyle w:val="Style24"/>
                        <w:rPr>
                          <w:sz w:val="22"/>
                          <w:szCs w:val="22"/>
                        </w:rPr>
                      </w:pPr>
                      <w:r>
                        <w:rPr>
                          <w:color w:val="000000"/>
                          <w:sz w:val="22"/>
                          <w:szCs w:val="22"/>
                        </w:rPr>
                        <w:t>Исп. Попова Елена Николаевна, 8(4152)42-01-05</w:t>
                      </w:r>
                    </w:p>
                  </w:txbxContent>
                </v:textbox>
                <w10:wrap type="none"/>
              </v:rect>
            </w:pict>
          </mc:Fallback>
        </mc:AlternateContent>
      </w:r>
    </w:p>
    <w:sectPr>
      <w:headerReference w:type="default" r:id="rId15"/>
      <w:type w:val="nextPage"/>
      <w:pgSz w:w="11906" w:h="16838"/>
      <w:pgMar w:left="1418" w:right="851" w:gutter="0" w:header="709" w:top="1134" w:footer="0" w:bottom="993"/>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79333288"/>
    </w:sdtPr>
    <w:sdtContent>
      <w:p>
        <w:pPr>
          <w:pStyle w:val="Style25"/>
          <w:jc w:val="center"/>
          <w:rPr>
            <w:sz w:val="24"/>
          </w:rPr>
        </w:pPr>
        <w:r>
          <w:rPr>
            <w:sz w:val="24"/>
          </w:rPr>
          <w:fldChar w:fldCharType="begin"/>
        </w:r>
        <w:r>
          <w:rPr>
            <w:sz w:val="24"/>
          </w:rPr>
          <w:instrText xml:space="preserve"> PAGE </w:instrText>
        </w:r>
        <w:r>
          <w:rPr>
            <w:sz w:val="24"/>
          </w:rPr>
          <w:fldChar w:fldCharType="separate"/>
        </w:r>
        <w:r>
          <w:rPr>
            <w:sz w:val="24"/>
          </w:rPr>
          <w:t>0</w:t>
        </w:r>
        <w:r>
          <w:rPr>
            <w:sz w:val="24"/>
          </w:rPr>
          <w:fldChar w:fldCharType="end"/>
        </w:r>
      </w:p>
    </w:sdtContent>
  </w:sdt>
  <w:p>
    <w:pPr>
      <w:pStyle w:val="Style25"/>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suppressAutoHyphens w:val="true"/>
      <w:bidi w:val="0"/>
      <w:spacing w:lineRule="auto" w:line="240" w:before="0" w:after="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character" w:styleId="Style17">
    <w:name w:val="FollowedHyperlink"/>
    <w:rPr>
      <w:color w:val="800000"/>
      <w:u w:val="single"/>
    </w:rPr>
  </w:style>
  <w:style w:type="paragraph" w:styleId="Style18">
    <w:name w:val="Заголовок"/>
    <w:basedOn w:val="Normal"/>
    <w:next w:val="Style19"/>
    <w:qFormat/>
    <w:pPr>
      <w:keepNext w:val="true"/>
      <w:spacing w:before="240" w:after="120"/>
    </w:pPr>
    <w:rPr>
      <w:rFonts w:ascii="Open Sans" w:hAnsi="Open Sans" w:eastAsia="Tahoma" w:cs="Lohit Devanagari"/>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ohit Devanagari"/>
    </w:rPr>
  </w:style>
  <w:style w:type="paragraph" w:styleId="Style21">
    <w:name w:val="Caption"/>
    <w:basedOn w:val="Normal"/>
    <w:qFormat/>
    <w:pPr>
      <w:suppressLineNumbers/>
      <w:spacing w:before="120" w:after="120"/>
    </w:pPr>
    <w:rPr>
      <w:rFonts w:cs="Lohit Devanagari"/>
      <w:i/>
      <w:iCs/>
      <w:sz w:val="24"/>
      <w:szCs w:val="24"/>
    </w:rPr>
  </w:style>
  <w:style w:type="paragraph" w:styleId="Style22">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ConsPlusTitle" w:customStyle="1">
    <w:name w:val="ConsPlusTitle"/>
    <w:qFormat/>
    <w:rsid w:val="00df5fef"/>
    <w:pPr>
      <w:widowControl w:val="false"/>
      <w:suppressAutoHyphens w:val="true"/>
      <w:bidi w:val="0"/>
      <w:spacing w:lineRule="auto" w:line="240" w:before="0" w:after="0"/>
      <w:jc w:val="left"/>
    </w:pPr>
    <w:rPr>
      <w:rFonts w:ascii="Calibri" w:hAnsi="Calibri" w:eastAsia="Times New Roman" w:cs="Calibri" w:asciiTheme="minorHAnsi" w:hAnsiTheme="minorHAnsi"/>
      <w:b/>
      <w:color w:val="auto"/>
      <w:kern w:val="0"/>
      <w:sz w:val="22"/>
      <w:szCs w:val="20"/>
      <w:lang w:val="ru-RU" w:eastAsia="ru-RU" w:bidi="ar-SA"/>
    </w:rPr>
  </w:style>
  <w:style w:type="paragraph" w:styleId="Style23">
    <w:name w:val="Колонтитул"/>
    <w:basedOn w:val="Normal"/>
    <w:qFormat/>
    <w:pPr/>
    <w:rPr/>
  </w:style>
  <w:style w:type="paragraph" w:styleId="Style24">
    <w:name w:val="Footer"/>
    <w:basedOn w:val="Normal"/>
    <w:link w:val="Style14"/>
    <w:uiPriority w:val="99"/>
    <w:rsid w:val="00752057"/>
    <w:pPr>
      <w:tabs>
        <w:tab w:val="clear" w:pos="708"/>
        <w:tab w:val="center" w:pos="4677" w:leader="none"/>
        <w:tab w:val="right" w:pos="9355" w:leader="none"/>
      </w:tabs>
    </w:pPr>
    <w:rPr>
      <w:szCs w:val="28"/>
    </w:rPr>
  </w:style>
  <w:style w:type="paragraph" w:styleId="Style25">
    <w:name w:val="Header"/>
    <w:basedOn w:val="Normal"/>
    <w:link w:val="Style16"/>
    <w:uiPriority w:val="99"/>
    <w:unhideWhenUsed/>
    <w:rsid w:val="005d4abe"/>
    <w:pPr>
      <w:tabs>
        <w:tab w:val="clear" w:pos="708"/>
        <w:tab w:val="center" w:pos="4677" w:leader="none"/>
        <w:tab w:val="right" w:pos="9355" w:leader="none"/>
      </w:tabs>
    </w:pPr>
    <w:rPr/>
  </w:style>
  <w:style w:type="paragraph" w:styleId="Style26">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zkh/current_activities/test/otbor_na_predstovlenie_subsidii" TargetMode="External"/><Relationship Id="rId3" Type="http://schemas.openxmlformats.org/officeDocument/2006/relationships/hyperlink" Target="consultantplus://offline/ref=218B2DDF5AD0CE94C1A8A57897723CE387B41C63C2DE2F1D34E823CA09C9E95AB3ECFA7F05F787A961E2847C5BB607793BC089A98AD964845B7DECB1V4eAB" TargetMode="External"/><Relationship Id="rId4" Type="http://schemas.openxmlformats.org/officeDocument/2006/relationships/hyperlink" Target="consultantplus://offline/ref=218B2DDF5AD0CE94C1A8BB75811E60E785BF466AC0D7274B68BB259D5699EF0FE1ACA42646B594A860FC8F7C5BVBeEB" TargetMode="External"/><Relationship Id="rId5" Type="http://schemas.openxmlformats.org/officeDocument/2006/relationships/hyperlink" Target="consultantplus://offline/ref=E337593A9A8FE1FD5D3D7EE7FEC76064F241A614C9915E7FE74F359284F23272939A856A7351DCDF3632D02CFBB87D0AF7B4A090B92776EC62392AC5dCSFD" TargetMode="External"/><Relationship Id="rId6" Type="http://schemas.openxmlformats.org/officeDocument/2006/relationships/hyperlink" Target="https://minzkh.kamgov.ru/current_activities/test/otbor_na_predstovlenie_subsidii/normativnye-dokumenty" TargetMode="External"/><Relationship Id="rId7" Type="http://schemas.openxmlformats.org/officeDocument/2006/relationships/hyperlink" Target="https://minzkh.kamgov.ru/current_activities/test/otbor_na_predstovlenie_subsidii/normativnye-dokumenty" TargetMode="External"/><Relationship Id="rId8" Type="http://schemas.openxmlformats.org/officeDocument/2006/relationships/hyperlink" Target="consultantplus://offline/ref=7F3AAA0C8E308CB8A7C7C276FCABF3BCFA8BF579FCC62825457F0700C8281B4A46AE85623E8F3AC998A1CEADB71134FA75970435183674D0315C3290c8JEB" TargetMode="External"/><Relationship Id="rId9" Type="http://schemas.openxmlformats.org/officeDocument/2006/relationships/hyperlink" Target="consultantplus://offline/ref=065D6D2C3C9434C2C3BE0DF1F9E1B29526B3FD32876DBC736EB0AF9A09B9DFF9C16B1727547A86218060B0680365CB9FA856125731B61D9C3EAFFE06g6WBD" TargetMode="External"/><Relationship Id="rId10" Type="http://schemas.openxmlformats.org/officeDocument/2006/relationships/hyperlink" Target="consultantplus://offline/ref=065D6D2C3C9434C2C3BE0DF1F9E1B29526B3FD32876DBC736EB0AF9A09B9DFF9C16B1727547A86218060B06B0D65CB9FA856125731B61D9C3EAFFE06g6WBD" TargetMode="External"/><Relationship Id="rId11" Type="http://schemas.openxmlformats.org/officeDocument/2006/relationships/hyperlink" Target="consultantplus://offline/ref=065D6D2C3C9434C2C3BE0DF1F9E1B29526B3FD32876DBC736EB0AF9A09B9DFF9C16B1727547A86218060B0690D65CB9FA856125731B61D9C3EAFFE06g6WBD" TargetMode="External"/><Relationship Id="rId12" Type="http://schemas.openxmlformats.org/officeDocument/2006/relationships/hyperlink" Target="consultantplus://offline/ref=FE0A97F75881B987F003DF577BF9EF03B3ED1999BEEF57FE37D2DEE39FEDBDC9107378CC2B45AC08B9B954E7AFD0D65D429E1543809EFBC3ABB433C6g3O0B" TargetMode="External"/><Relationship Id="rId13" Type="http://schemas.openxmlformats.org/officeDocument/2006/relationships/hyperlink" Target="https://minzkh.kamgov.ru/rezultat-provedenia-otbora" TargetMode="External"/><Relationship Id="rId14" Type="http://schemas.openxmlformats.org/officeDocument/2006/relationships/hyperlink" Target="mailto:tek1@kamgov.ru"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Application>LibreOffice/7.4.4.2$Linux_X86_64 LibreOffice_project/40$Build-2</Application>
  <AppVersion>15.0000</AppVersion>
  <Pages>6</Pages>
  <Words>1469</Words>
  <Characters>10800</Characters>
  <CharactersWithSpaces>12215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2022-12-28T04:59:00Z</dcterms:created>
  <dc:creator>Попова Елена Николаевна</dc:creator>
  <dc:description/>
  <dc:language>ru-RU</dc:language>
  <cp:lastModifiedBy/>
  <dcterms:modified xsi:type="dcterms:W3CDTF">2024-01-26T14:41:46Z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