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160" w:line="264" w:lineRule="auto"/>
        <w:ind/>
        <w:rPr>
          <w:rFonts w:ascii="Times New Roman" w:hAnsi="Times New Roman"/>
          <w:b w:val="1"/>
          <w:sz w:val="28"/>
        </w:rPr>
      </w:pPr>
    </w:p>
    <w:p w14:paraId="04000000">
      <w:pPr>
        <w:spacing w:after="160" w:line="264" w:lineRule="auto"/>
        <w:ind/>
        <w:rPr>
          <w:rFonts w:ascii="Times New Roman" w:hAnsi="Times New Roman"/>
          <w:b w:val="1"/>
          <w:sz w:val="28"/>
        </w:rPr>
      </w:pPr>
    </w:p>
    <w:p w14:paraId="05000000">
      <w:pPr>
        <w:spacing w:after="160" w:line="264" w:lineRule="auto"/>
        <w:ind/>
        <w:rPr>
          <w:rFonts w:ascii="Times New Roman" w:hAnsi="Times New Roman"/>
          <w:b w:val="1"/>
          <w:sz w:val="28"/>
        </w:rPr>
      </w:pPr>
    </w:p>
    <w:p w14:paraId="06000000">
      <w:pPr>
        <w:spacing w:after="160" w:line="264" w:lineRule="auto"/>
        <w:ind/>
        <w:rPr>
          <w:rFonts w:ascii="Times New Roman" w:hAnsi="Times New Roman"/>
          <w:b w:val="1"/>
          <w:sz w:val="28"/>
        </w:rPr>
      </w:pPr>
    </w:p>
    <w:p w14:paraId="07000000">
      <w:pPr>
        <w:spacing w:after="160" w:line="264" w:lineRule="auto"/>
        <w:ind/>
        <w:rPr>
          <w:rFonts w:ascii="Times New Roman" w:hAnsi="Times New Roman"/>
          <w:b w:val="1"/>
          <w:sz w:val="28"/>
        </w:rPr>
      </w:pPr>
    </w:p>
    <w:p w14:paraId="08000000">
      <w:pPr>
        <w:spacing w:after="160" w:line="264" w:lineRule="auto"/>
        <w:ind/>
        <w:rPr>
          <w:rFonts w:ascii="Times New Roman" w:hAnsi="Times New Roman"/>
          <w:b w:val="1"/>
          <w:sz w:val="28"/>
        </w:rPr>
      </w:pPr>
    </w:p>
    <w:p w14:paraId="09000000">
      <w:pPr>
        <w:spacing w:after="160" w:line="264" w:lineRule="auto"/>
        <w:ind/>
        <w:rPr>
          <w:rFonts w:ascii="Times New Roman" w:hAnsi="Times New Roman"/>
          <w:b w:val="1"/>
          <w:sz w:val="28"/>
        </w:rPr>
      </w:pPr>
    </w:p>
    <w:p w14:paraId="0A000000">
      <w:pPr>
        <w:spacing w:after="160" w:line="264" w:lineRule="auto"/>
        <w:ind/>
        <w:rPr>
          <w:rFonts w:ascii="Times New Roman" w:hAnsi="Times New Roman"/>
          <w:b w:val="1"/>
          <w:sz w:val="28"/>
        </w:rPr>
      </w:pPr>
    </w:p>
    <w:p w14:paraId="0B000000">
      <w:pPr>
        <w:tabs>
          <w:tab w:leader="none" w:pos="9921" w:val="left"/>
        </w:tabs>
        <w:spacing w:after="0" w:line="240" w:lineRule="auto"/>
        <w:ind w:right="-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ТЕРРИТОРИАЛЬНАЯ СХЕМА</w:t>
      </w:r>
    </w:p>
    <w:p w14:paraId="0C000000">
      <w:pPr>
        <w:tabs>
          <w:tab w:leader="none" w:pos="9921" w:val="left"/>
        </w:tabs>
        <w:spacing w:after="0" w:line="240" w:lineRule="auto"/>
        <w:ind w:right="-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ОБРАЩЕНИЯ С ОТХОДАМИ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КАМЧАТСКОГО КРАЯ</w:t>
      </w:r>
    </w:p>
    <w:p w14:paraId="0D000000">
      <w:pPr>
        <w:tabs>
          <w:tab w:leader="none" w:pos="9921" w:val="left"/>
        </w:tabs>
        <w:spacing w:after="160" w:line="264" w:lineRule="auto"/>
        <w:ind w:right="-2"/>
        <w:rPr>
          <w:rFonts w:ascii="Times New Roman" w:hAnsi="Times New Roman"/>
          <w:b w:val="1"/>
          <w:spacing w:val="30"/>
          <w:sz w:val="28"/>
          <w:u w:val="single"/>
        </w:rPr>
      </w:pPr>
    </w:p>
    <w:p w14:paraId="0E000000">
      <w:pPr>
        <w:tabs>
          <w:tab w:leader="none" w:pos="9921" w:val="left"/>
        </w:tabs>
        <w:spacing w:after="160" w:line="264" w:lineRule="auto"/>
        <w:ind w:right="-2"/>
        <w:rPr>
          <w:rFonts w:ascii="Times New Roman" w:hAnsi="Times New Roman"/>
          <w:b w:val="1"/>
          <w:spacing w:val="30"/>
          <w:sz w:val="28"/>
          <w:u w:val="single"/>
        </w:rPr>
      </w:pPr>
    </w:p>
    <w:p w14:paraId="0F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10000000">
      <w:pPr>
        <w:tabs>
          <w:tab w:leader="none" w:pos="9921" w:val="left"/>
        </w:tabs>
        <w:spacing w:after="160" w:line="264" w:lineRule="auto"/>
        <w:ind w:right="-2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РАЗДЕЛ 10</w:t>
      </w:r>
    </w:p>
    <w:p w14:paraId="11000000">
      <w:pPr>
        <w:ind/>
        <w:jc w:val="center"/>
        <w:rPr>
          <w:rFonts w:ascii="Times New Roman" w:hAnsi="Times New Roman"/>
          <w:b w:val="1"/>
          <w:sz w:val="28"/>
          <w:highlight w:val="red"/>
        </w:rPr>
      </w:pPr>
      <w:r>
        <w:rPr>
          <w:rFonts w:ascii="Times New Roman" w:hAnsi="Times New Roman"/>
          <w:b w:val="1"/>
          <w:sz w:val="28"/>
        </w:rPr>
        <w:t>Данные о планируемых строительстве, реконструкции, выведении из эксплуатации объектов обработки, утилизации, обезвреживания, размещения отходов</w:t>
      </w:r>
    </w:p>
    <w:p w14:paraId="12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13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14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15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16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17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  <w:highlight w:val="red"/>
        </w:rPr>
      </w:pPr>
    </w:p>
    <w:p w14:paraId="18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9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A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1B000000">
      <w:pPr>
        <w:spacing w:after="160" w:line="264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Камчатский край</w:t>
      </w:r>
    </w:p>
    <w:p w14:paraId="1C000000">
      <w:pPr>
        <w:spacing w:after="160" w:line="264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b w:val="1"/>
          <w:sz w:val="28"/>
        </w:rPr>
        <w:br w:type="page"/>
      </w:r>
    </w:p>
    <w:p w14:paraId="1D000000">
      <w:pPr>
        <w:pStyle w:val="Style_2"/>
        <w:ind w:firstLine="0" w:left="0"/>
        <w:jc w:val="center"/>
      </w:pPr>
      <w:r>
        <w:t>СОДЕРЖАНИЕ</w:t>
      </w:r>
    </w:p>
    <w:p>
      <w:pPr>
        <w:pStyle w:val="Style_3"/>
        <w:tabs>
          <w:tab w:leader="dot" w:pos="9355" w:val="right"/>
        </w:tabs>
        <w:ind/>
      </w:pPr>
      <w:r>
        <w:fldChar w:fldCharType="begin"/>
      </w:r>
      <w:r>
        <w:instrText xml:space="preserve">TOC \h \z \u \o "1-3"</w:instrText>
      </w:r>
      <w:r>
        <w:fldChar w:fldCharType="separate"/>
      </w:r>
      <w:r>
        <w:fldChar w:fldCharType="begin"/>
      </w:r>
      <w:r>
        <w:instrText>HYPERLINK \l "__RefHeading___1"</w:instrText>
      </w:r>
      <w:r>
        <w:fldChar w:fldCharType="separate"/>
      </w:r>
      <w:r>
        <w:t>10.1. Планируемое строительство объектов обработки и размещения отходов.</w:t>
      </w:r>
      <w:r>
        <w:tab/>
      </w:r>
      <w:r>
        <w:fldChar w:fldCharType="begin"/>
      </w:r>
      <w:r>
        <w:instrText>PAGEREF __RefHeading___1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 w14:paraId="1F000000">
      <w:pPr>
        <w:pStyle w:val="Style_3"/>
        <w:tabs>
          <w:tab w:leader="dot" w:pos="9355" w:val="right"/>
        </w:tabs>
        <w:ind/>
      </w:pPr>
      <w:r>
        <w:fldChar w:fldCharType="begin"/>
      </w:r>
      <w:r>
        <w:instrText>HYPERLINK \l "__RefHeading___2"</w:instrText>
      </w:r>
      <w:r>
        <w:fldChar w:fldCharType="separate"/>
      </w:r>
      <w:r>
        <w:t>10.2. Планируемое строительство объектов обезвреживания и утилизации отходов.</w:t>
      </w:r>
      <w:r>
        <w:tab/>
      </w:r>
      <w:r>
        <w:fldChar w:fldCharType="begin"/>
      </w:r>
      <w:r>
        <w:instrText>PAGEREF __RefHeading___2 \h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20000000">
      <w:pPr>
        <w:pStyle w:val="Style_3"/>
        <w:tabs>
          <w:tab w:leader="dot" w:pos="9355" w:val="right"/>
        </w:tabs>
        <w:ind/>
      </w:pPr>
      <w:r>
        <w:fldChar w:fldCharType="begin"/>
      </w:r>
      <w:r>
        <w:instrText>HYPERLINK \l "__RefHeading___3"</w:instrText>
      </w:r>
      <w:r>
        <w:fldChar w:fldCharType="separate"/>
      </w:r>
      <w:r>
        <w:t>10.3.  Выведение из эксплуатации объектов размещения отходов.</w:t>
      </w:r>
      <w:r>
        <w:tab/>
      </w:r>
      <w:r>
        <w:fldChar w:fldCharType="begin"/>
      </w:r>
      <w:r>
        <w:instrText>PAGEREF __RefHeading___3 \h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21000000">
      <w:pPr>
        <w:pStyle w:val="Style_4"/>
        <w:tabs>
          <w:tab w:leader="dot" w:pos="9355" w:val="right"/>
        </w:tabs>
        <w:ind/>
      </w:pPr>
      <w:r>
        <w:fldChar w:fldCharType="begin"/>
      </w:r>
      <w:r>
        <w:instrText>HYPERLINK \l "__RefHeading___4"</w:instrText>
      </w:r>
      <w:r>
        <w:fldChar w:fldCharType="separate"/>
      </w:r>
      <w:r>
        <w:t>Устройство существующих санкционированных свалок не соответствует требованиям Постановления Правительства РФ от 12 октября 2020 г. № 1657 “О Единых требованиях к объектам обработки, утилизации, обезвреживания, размещения твердых коммунальных отходов”, СанПиН 2.1.3684-21:</w:t>
      </w:r>
      <w:r>
        <w:tab/>
      </w:r>
      <w:r>
        <w:fldChar w:fldCharType="begin"/>
      </w:r>
      <w:r>
        <w:instrText>PAGEREF __RefHeading___4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22000000">
      <w:pPr>
        <w:pStyle w:val="Style_3"/>
        <w:tabs>
          <w:tab w:leader="dot" w:pos="9355" w:val="right"/>
        </w:tabs>
        <w:ind/>
      </w:pPr>
      <w:r>
        <w:fldChar w:fldCharType="begin"/>
      </w:r>
      <w:r>
        <w:instrText>HYPERLINK \l "__RefHeading___5"</w:instrText>
      </w:r>
      <w:r>
        <w:fldChar w:fldCharType="separate"/>
      </w:r>
      <w:r>
        <w:t>10.4. Вариантная проработка развития системы обращения с отходами на территории Камчатского края.</w:t>
      </w:r>
      <w:r>
        <w:tab/>
      </w:r>
      <w:r>
        <w:fldChar w:fldCharType="begin"/>
      </w:r>
      <w:r>
        <w:instrText>PAGEREF __RefHeading___5 \h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3000000">
      <w:pPr>
        <w:pStyle w:val="Style_5"/>
        <w:tabs>
          <w:tab w:leader="dot" w:pos="9355" w:val="right"/>
        </w:tabs>
        <w:ind/>
      </w:pPr>
      <w:r>
        <w:fldChar w:fldCharType="begin"/>
      </w:r>
      <w:r>
        <w:instrText>HYPERLINK \l "__RefHeading___6"</w:instrText>
      </w:r>
      <w:r>
        <w:fldChar w:fldCharType="separate"/>
      </w:r>
      <w:r>
        <w:t>10.4.1. Раздельное накопление ТКО, как перспектива создания сбора качественного вторичного сырья</w:t>
      </w:r>
      <w:r>
        <w:tab/>
      </w:r>
      <w:r>
        <w:fldChar w:fldCharType="begin"/>
      </w:r>
      <w:r>
        <w:instrText>PAGEREF __RefHeading___6 \h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24000000">
      <w:pPr>
        <w:pStyle w:val="Style_3"/>
        <w:tabs>
          <w:tab w:leader="dot" w:pos="9355" w:val="right"/>
        </w:tabs>
        <w:ind/>
      </w:pPr>
      <w:r>
        <w:fldChar w:fldCharType="begin"/>
      </w:r>
      <w:r>
        <w:instrText>HYPERLINK \l "__RefHeading___7"</w:instrText>
      </w:r>
      <w:r>
        <w:fldChar w:fldCharType="separate"/>
      </w:r>
      <w:r>
        <w:t>Региональный оператор имеет право не разрешить другим компаниям выстраивать систему РСО на контейнерных площадках, о чем написано в Постановлении Правительства РФ от 12.11.2016 № 1156 "Об обращении с твердыми коммунальными отходами и внесении изменения в постановление Правительства Российской Федерации от 25 августа 2008 г. N 641" (п. 21): «Запрещается организовывать места сбора отходов от использования потребительских товаров и упаковки, утративших свои потребительские свойства, входящих в состав твердых коммунальных отходов, на контейнерных площадках и специальных площадках для складирования крупногабаритных отходов без письменного согласия регионального оператора».</w:t>
      </w:r>
      <w:r>
        <w:tab/>
      </w:r>
      <w:r>
        <w:fldChar w:fldCharType="begin"/>
      </w:r>
      <w:r>
        <w:instrText>PAGEREF __RefHeading___7 \h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 w14:paraId="25000000">
      <w:pPr>
        <w:pStyle w:val="Style_5"/>
        <w:tabs>
          <w:tab w:leader="dot" w:pos="9355" w:val="right"/>
        </w:tabs>
        <w:ind/>
      </w:pPr>
      <w:r>
        <w:fldChar w:fldCharType="begin"/>
      </w:r>
      <w:r>
        <w:instrText>HYPERLINK \l "__RefHeading___8"</w:instrText>
      </w:r>
      <w:r>
        <w:fldChar w:fldCharType="separate"/>
      </w:r>
      <w:r>
        <w:t>10.4.2. Решение проблем Крупногабаритных отходов, как части твердых коммунальных отходов</w:t>
      </w:r>
      <w:r>
        <w:tab/>
      </w:r>
      <w:r>
        <w:fldChar w:fldCharType="begin"/>
      </w:r>
      <w:r>
        <w:instrText>PAGEREF __RefHeading___8 \h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r>
        <w:fldChar w:fldCharType="end"/>
      </w:r>
    </w:p>
    <w:p w14:paraId="2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28000000">
      <w:bookmarkStart w:id="1" w:name="__RefHeading___1"/>
      <w:bookmarkEnd w:id="1"/>
      <w:pPr>
        <w:pStyle w:val="Style_6"/>
        <w:spacing w:line="276" w:lineRule="auto"/>
        <w:ind/>
      </w:pPr>
      <w:r>
        <w:t>10.1. Планируемое строительство</w:t>
      </w:r>
      <w:r>
        <w:t xml:space="preserve"> объектов обработки и размещения отходов.</w:t>
      </w:r>
    </w:p>
    <w:p w14:paraId="29000000">
      <w:pPr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Анализ существующего положения дел в сфере обращения с отходами производства и потребления, проведенный в результате корректировки Территориальной схемы обращения с отходами, в том числе </w:t>
      </w:r>
      <w:r>
        <w:rPr>
          <w:rFonts w:ascii="Times New Roman" w:hAnsi="Times New Roman"/>
          <w:sz w:val="28"/>
        </w:rPr>
        <w:t>c</w:t>
      </w:r>
      <w:r>
        <w:rPr>
          <w:rFonts w:ascii="Times New Roman" w:hAnsi="Times New Roman"/>
          <w:sz w:val="28"/>
        </w:rPr>
        <w:t xml:space="preserve"> твердыми коммунальными отходами, на территории </w:t>
      </w:r>
      <w:r>
        <w:rPr>
          <w:rFonts w:ascii="Times New Roman" w:hAnsi="Times New Roman"/>
          <w:sz w:val="28"/>
        </w:rPr>
        <w:t>Камчатского края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позволяет </w:t>
      </w:r>
      <w:r>
        <w:rPr>
          <w:rFonts w:ascii="Times New Roman" w:hAnsi="Times New Roman"/>
          <w:sz w:val="28"/>
        </w:rPr>
        <w:t xml:space="preserve">сделать </w:t>
      </w:r>
      <w:r>
        <w:rPr>
          <w:rFonts w:ascii="Times New Roman" w:hAnsi="Times New Roman"/>
          <w:sz w:val="28"/>
        </w:rPr>
        <w:t>следующие предложения по созданию оптимальной перспективной системы обращения с отходами.</w:t>
      </w:r>
    </w:p>
    <w:p w14:paraId="2A000000">
      <w:pPr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>Камчатского края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определен ряд </w:t>
      </w:r>
      <w:r>
        <w:rPr>
          <w:rFonts w:ascii="Times New Roman" w:hAnsi="Times New Roman"/>
          <w:sz w:val="28"/>
        </w:rPr>
        <w:t xml:space="preserve">перспективных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>бъект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обработки, утилизации и размещения отходов производства и потребления. </w:t>
      </w:r>
      <w:r>
        <w:rPr>
          <w:rFonts w:ascii="Times New Roman" w:hAnsi="Times New Roman"/>
          <w:sz w:val="28"/>
        </w:rPr>
        <w:t xml:space="preserve">Перечень данных объектов представлен в таблице </w:t>
      </w:r>
      <w:r>
        <w:rPr>
          <w:rFonts w:ascii="Times New Roman" w:hAnsi="Times New Roman"/>
          <w:sz w:val="28"/>
        </w:rPr>
        <w:t>10.1</w:t>
      </w:r>
    </w:p>
    <w:p w14:paraId="2B000000">
      <w:pPr>
        <w:ind w:firstLine="709" w:left="0"/>
        <w:contextualSpacing w:val="1"/>
        <w:jc w:val="both"/>
        <w:rPr>
          <w:rFonts w:ascii="Times New Roman" w:hAnsi="Times New Roman"/>
          <w:sz w:val="28"/>
        </w:rPr>
      </w:pPr>
    </w:p>
    <w:p w14:paraId="2C000000">
      <w:pPr>
        <w:ind w:firstLine="709" w:left="0"/>
        <w:jc w:val="both"/>
        <w:rPr>
          <w:rFonts w:ascii="Times New Roman" w:hAnsi="Times New Roman"/>
          <w:b w:val="1"/>
          <w:sz w:val="28"/>
        </w:rPr>
      </w:pPr>
    </w:p>
    <w:p w14:paraId="2D000000">
      <w:pPr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Таблица 10.1. Объекты инфраструктуры обращения с отходами производства и потребления.</w:t>
      </w:r>
    </w:p>
    <w:tbl>
      <w:tblPr>
        <w:tblStyle w:val="Style_7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67"/>
        <w:gridCol w:w="1985"/>
        <w:gridCol w:w="2552"/>
        <w:gridCol w:w="992"/>
        <w:gridCol w:w="1418"/>
        <w:gridCol w:w="821"/>
        <w:gridCol w:w="1418"/>
      </w:tblGrid>
      <w:tr>
        <w:trPr>
          <w:trHeight w:hRule="atLeast" w:val="17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п\п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Местоположение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Площадь, Га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Мощность т</w:t>
            </w:r>
            <w:r>
              <w:rPr>
                <w:rFonts w:ascii="Times New Roman" w:hAnsi="Times New Roman"/>
              </w:rPr>
              <w:t>/год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Координаты</w:t>
            </w:r>
          </w:p>
        </w:tc>
      </w:tr>
      <w:tr>
        <w:trPr>
          <w:trHeight w:hRule="exact" w:val="368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5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18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Елизовский муниципальный район (экотехнопарк)</w:t>
            </w:r>
            <w:r>
              <w:rPr>
                <w:rFonts w:ascii="Times New Roman" w:hAnsi="Times New Roman"/>
                <w:b w:val="1"/>
              </w:rPr>
              <w:t xml:space="preserve"> – 1 вариант</w:t>
            </w:r>
          </w:p>
        </w:tc>
      </w:tr>
      <w:tr>
        <w:trPr>
          <w:trHeight w:hRule="exact" w:val="56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Полигон ТКО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00000">
            <w:pPr>
              <w:pStyle w:val="Style_8"/>
              <w:spacing w:line="240" w:lineRule="auto"/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41:05:0101018:ЗУ1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</w:t>
            </w:r>
            <w:r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3.277545, 157.990029</w:t>
            </w:r>
          </w:p>
        </w:tc>
      </w:tr>
      <w:tr>
        <w:trPr>
          <w:trHeight w:hRule="exact" w:val="579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bookmarkStart w:id="2" w:name="_Hlk77198119"/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МСК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00000">
            <w:pPr>
              <w:pStyle w:val="Style_8"/>
              <w:spacing w:line="240" w:lineRule="auto"/>
              <w:ind w:firstLine="0" w:left="0"/>
              <w:jc w:val="center"/>
              <w:rPr>
                <w:sz w:val="22"/>
              </w:rPr>
            </w:pPr>
            <w:r>
              <w:rPr>
                <w:sz w:val="22"/>
              </w:rPr>
              <w:t>41:05:0101018:ЗУ1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117000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</w:t>
            </w:r>
            <w:r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53.277545, 157.990029</w:t>
            </w:r>
            <w:bookmarkEnd w:id="2"/>
          </w:p>
        </w:tc>
      </w:tr>
      <w:tr>
        <w:trPr>
          <w:trHeight w:hRule="exact" w:val="56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утилизации органической фракции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41:05:0101018:ЗУ1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</w:t>
            </w:r>
            <w:r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53.277545, 157.990029</w:t>
            </w:r>
          </w:p>
        </w:tc>
      </w:tr>
      <w:tr>
        <w:trPr>
          <w:trHeight w:hRule="exact" w:val="84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41:05:0101018:ЗУ1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</w:t>
            </w:r>
            <w:r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53.277545, 157.990029</w:t>
            </w:r>
          </w:p>
        </w:tc>
      </w:tr>
      <w:tr>
        <w:trPr>
          <w:trHeight w:hRule="exact" w:val="415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3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18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Елизовский муниципальный район (экотехнопарк) – 2 вариант</w:t>
            </w:r>
          </w:p>
        </w:tc>
      </w:tr>
      <w:tr>
        <w:trPr>
          <w:trHeight w:hRule="exact" w:val="563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Полигон ТКО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t>41:05:0101018:ЗУ1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49400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</w:t>
            </w:r>
            <w:r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53.277545, 157.990029</w:t>
            </w:r>
          </w:p>
        </w:tc>
      </w:tr>
      <w:tr>
        <w:trPr>
          <w:trHeight w:hRule="exact" w:val="855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C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утилизации органической фракции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41:05:0101018:ЗУ1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</w:t>
            </w:r>
            <w:r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53.277545, 157.990029</w:t>
            </w:r>
          </w:p>
        </w:tc>
      </w:tr>
      <w:tr>
        <w:trPr>
          <w:trHeight w:hRule="exact" w:val="861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3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41:05:0101018:ЗУ1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</w:t>
            </w:r>
            <w:r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53.277545, 157.990029</w:t>
            </w:r>
          </w:p>
        </w:tc>
      </w:tr>
      <w:tr>
        <w:trPr>
          <w:trHeight w:hRule="exact" w:val="37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A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18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B00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Усть-Большерецкий муниципальный район</w:t>
            </w:r>
          </w:p>
        </w:tc>
      </w:tr>
      <w:tr>
        <w:trPr>
          <w:trHeight w:hRule="exact" w:val="56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МСК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Озерновское ГО, 41:08:0010113:1963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51.492286, 156.521524</w:t>
            </w:r>
          </w:p>
        </w:tc>
      </w:tr>
      <w:tr>
        <w:trPr>
          <w:trHeight w:hRule="exact" w:val="56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rPr>
          <w:trHeight w:hRule="exact" w:val="756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Озерновское ГО, 41:08:0010113:1963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51.492286, 156.521524</w:t>
            </w:r>
          </w:p>
        </w:tc>
      </w:tr>
      <w:tr>
        <w:trPr>
          <w:trHeight w:hRule="exact" w:val="795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МПП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Усть-Большерецкое с/п, с.Усть-Большерецк, 41:08:0010102:3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2,0019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6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7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52.827477, 156.266166</w:t>
            </w:r>
          </w:p>
        </w:tc>
      </w:tr>
      <w:tr>
        <w:trPr>
          <w:trHeight w:hRule="exact" w:val="43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8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18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0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Мильковский муниципальный район</w:t>
            </w:r>
          </w:p>
        </w:tc>
      </w:tr>
      <w:tr>
        <w:trPr>
          <w:trHeight w:hRule="exact" w:val="80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00000">
            <w:pPr>
              <w:spacing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МПП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Мильковское с/п, с.Мильково, 41:06:0070101:2489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8,14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54.810543, 158.767143</w:t>
            </w:r>
          </w:p>
        </w:tc>
      </w:tr>
      <w:tr>
        <w:trPr>
          <w:trHeight w:hRule="exact" w:val="39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18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0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Соболевский муниципальный район</w:t>
            </w:r>
          </w:p>
        </w:tc>
      </w:tr>
      <w:tr>
        <w:trPr>
          <w:trHeight w:hRule="exact" w:val="751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5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Соболевское с/п, с.Соболево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54.298858, 155.946087</w:t>
            </w:r>
          </w:p>
        </w:tc>
      </w:tr>
      <w:tr>
        <w:trPr>
          <w:trHeight w:hRule="exact" w:val="84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A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B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C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Крутогоровское с/п, п.Крутогоровский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E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F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55.026700, 155.591163</w:t>
            </w:r>
          </w:p>
        </w:tc>
      </w:tr>
      <w:tr>
        <w:trPr>
          <w:trHeight w:hRule="exact" w:val="433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1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18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200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ГО «Поселок Палана»</w:t>
            </w:r>
          </w:p>
        </w:tc>
      </w:tr>
      <w:tr>
        <w:trPr>
          <w:trHeight w:hRule="exact" w:val="56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3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4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Полигон ТКО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5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п.Палана, 82:01:000005:323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0,9926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7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8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59.092530, 159.883947</w:t>
            </w:r>
          </w:p>
        </w:tc>
      </w:tr>
      <w:tr>
        <w:trPr>
          <w:trHeight w:hRule="exact" w:val="56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A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B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МСК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C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п.Палана, 82:01:000005:323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E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AF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0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59.092530, 159.883947</w:t>
            </w:r>
          </w:p>
        </w:tc>
      </w:tr>
      <w:tr>
        <w:trPr>
          <w:trHeight w:hRule="exact" w:val="839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1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2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3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п.Палана, 82:01:000005:323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5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6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2023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7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59.092530, 159.883947</w:t>
            </w:r>
          </w:p>
        </w:tc>
      </w:tr>
      <w:tr>
        <w:trPr>
          <w:trHeight w:hRule="exact" w:val="425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8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18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900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Тигильский муниципальный район</w:t>
            </w:r>
          </w:p>
        </w:tc>
      </w:tr>
      <w:tr>
        <w:trPr>
          <w:trHeight w:hRule="exact" w:val="85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A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B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C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с.Усть-Хайрюзово, 82:01:000019:</w:t>
            </w: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E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BF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57.100034, 156.769214</w:t>
            </w:r>
          </w:p>
        </w:tc>
      </w:tr>
      <w:tr>
        <w:trPr>
          <w:trHeight w:hRule="exact" w:val="841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1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2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3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с.Лесная, 82:01:000019:167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5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6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59.468899, 160.535558</w:t>
            </w:r>
          </w:p>
        </w:tc>
      </w:tr>
      <w:tr>
        <w:trPr>
          <w:trHeight w:hRule="exact" w:val="853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8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9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A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с.Ковран, 82:01:000019:138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C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D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57.200413, 156.880273</w:t>
            </w:r>
          </w:p>
        </w:tc>
      </w:tr>
      <w:tr>
        <w:trPr>
          <w:trHeight w:hRule="exact" w:val="851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CF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0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1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с.Седанка, 82:01:000019:160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3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4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57.726988, 158.262311</w:t>
            </w:r>
          </w:p>
        </w:tc>
      </w:tr>
      <w:tr>
        <w:trPr>
          <w:trHeight w:hRule="exact" w:val="849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6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7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8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с.Хайрюзово, 82:01:000017:61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A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B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56.848371, 157.016238</w:t>
            </w:r>
          </w:p>
        </w:tc>
      </w:tr>
      <w:tr>
        <w:trPr>
          <w:trHeight w:hRule="exact" w:val="849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D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E000000">
            <w:pPr>
              <w:pStyle w:val="Style_9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DF000000">
            <w:pPr>
              <w:pStyle w:val="Style_9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с.Тигиль, 82:01:000011:238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0000000">
            <w:pPr>
              <w:pStyle w:val="Style_9"/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1000000">
            <w:pPr>
              <w:pStyle w:val="Style_9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2000000">
            <w:pPr>
              <w:pStyle w:val="Style_9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3000000">
            <w:pPr>
              <w:pStyle w:val="Style_9"/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exact" w:val="436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4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18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500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Пенжинский муниципальный район</w:t>
            </w:r>
          </w:p>
        </w:tc>
      </w:tr>
      <w:tr>
        <w:trPr>
          <w:trHeight w:hRule="exact" w:val="56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6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7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Полигон ТКО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8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с.Каменское, с.Манилы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A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B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62.531233, 166.260088</w:t>
            </w:r>
          </w:p>
        </w:tc>
      </w:tr>
      <w:tr>
        <w:trPr>
          <w:trHeight w:hRule="exact" w:val="846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D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E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EF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с.Аянка, 82:04:000008:392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1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2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63.705744, 167.575867</w:t>
            </w:r>
          </w:p>
        </w:tc>
      </w:tr>
      <w:tr>
        <w:trPr>
          <w:trHeight w:hRule="exact" w:val="845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4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5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6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с.Таловка, 82:04:000008:390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8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900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62.048258, 166.671246</w:t>
            </w:r>
          </w:p>
        </w:tc>
      </w:tr>
      <w:tr>
        <w:trPr>
          <w:trHeight w:hRule="exact" w:val="856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B00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C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D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с.Слаутное, 82:04:000008:391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FF00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0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63.165719, 167.980031</w:t>
            </w:r>
          </w:p>
        </w:tc>
      </w:tr>
      <w:tr>
        <w:trPr>
          <w:trHeight w:hRule="exact" w:val="43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2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18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301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Олюторский муниципальный район</w:t>
            </w:r>
          </w:p>
        </w:tc>
      </w:tr>
      <w:tr>
        <w:trPr>
          <w:trHeight w:hRule="exact" w:val="84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4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5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6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с.Апука</w:t>
            </w:r>
          </w:p>
          <w:p w14:paraId="07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9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A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B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highlight w:val="white"/>
              </w:rPr>
              <w:t>60.442644, 169.605645</w:t>
            </w:r>
          </w:p>
        </w:tc>
      </w:tr>
      <w:tr>
        <w:trPr>
          <w:trHeight w:hRule="exact" w:val="859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C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D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0E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с.Ачайваям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61.007986, 170.507877</w:t>
            </w:r>
          </w:p>
        </w:tc>
      </w:tr>
      <w:tr>
        <w:trPr>
          <w:trHeight w:hRule="exact" w:val="858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с.Вывенка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60.185781, 165.461483</w:t>
            </w:r>
          </w:p>
        </w:tc>
      </w:tr>
      <w:tr>
        <w:trPr>
          <w:trHeight w:hRule="exact" w:val="841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с.Тилички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60.428326, 166.055637</w:t>
            </w:r>
          </w:p>
        </w:tc>
      </w:tr>
      <w:tr>
        <w:trPr>
          <w:trHeight w:hRule="exact" w:val="853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3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 Средние Пахачи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5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60.828117, 169.068461</w:t>
            </w:r>
          </w:p>
        </w:tc>
      </w:tr>
      <w:tr>
        <w:trPr>
          <w:trHeight w:hRule="exact" w:val="851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с.Пахачи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60.555326, 169.143336</w:t>
            </w:r>
          </w:p>
        </w:tc>
      </w:tr>
      <w:tr>
        <w:trPr>
          <w:trHeight w:hRule="exact" w:val="849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с.Хаилино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3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60.958577, 166.848679</w:t>
            </w:r>
          </w:p>
        </w:tc>
      </w:tr>
      <w:tr>
        <w:trPr>
          <w:trHeight w:hRule="exact" w:val="422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18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701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Карагинский муниципальный район</w:t>
            </w:r>
          </w:p>
        </w:tc>
      </w:tr>
      <w:tr>
        <w:trPr>
          <w:trHeight w:hRule="exact" w:val="56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8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9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Полигон ТКО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A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 п.Оссора, 82:00:000000:10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7,9750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</w:t>
            </w:r>
            <w:r>
              <w:rPr>
                <w:rFonts w:ascii="Times New Roman" w:hAnsi="Times New Roman"/>
                <w:highlight w:val="white"/>
              </w:rPr>
              <w:t>4-2025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59.147530, 163.120274</w:t>
            </w:r>
          </w:p>
        </w:tc>
      </w:tr>
      <w:tr>
        <w:trPr>
          <w:trHeight w:hRule="exact" w:val="86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0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1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с.Ивашка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58.558675, 162.304165</w:t>
            </w:r>
          </w:p>
        </w:tc>
      </w:tr>
      <w:tr>
        <w:trPr>
          <w:trHeight w:hRule="exact" w:val="845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7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8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с.Ильпырское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59.961697, 164.184689</w:t>
            </w:r>
          </w:p>
        </w:tc>
      </w:tr>
      <w:tr>
        <w:trPr>
          <w:trHeight w:hRule="exact" w:val="856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E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F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с/п с.Тымлат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1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2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59.489593,163.188574</w:t>
            </w:r>
          </w:p>
        </w:tc>
      </w:tr>
      <w:tr>
        <w:trPr>
          <w:trHeight w:hRule="exact" w:val="43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4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18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501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Алеутский муниципальный район</w:t>
            </w:r>
          </w:p>
        </w:tc>
      </w:tr>
      <w:tr>
        <w:trPr>
          <w:trHeight w:hRule="exact" w:val="84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6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7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8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с.Никольское, 41:03:0010103:9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A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B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55.244409, 165.944166</w:t>
            </w:r>
          </w:p>
        </w:tc>
      </w:tr>
      <w:tr>
        <w:trPr>
          <w:trHeight w:hRule="exact" w:val="561"/>
        </w:trPr>
        <w:tc>
          <w:tcPr>
            <w:tcW w:type="dxa" w:w="975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D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Петропавловск-камчатский ГО (1 вариант)</w:t>
            </w:r>
          </w:p>
        </w:tc>
      </w:tr>
      <w:tr>
        <w:trPr>
          <w:trHeight w:hRule="exact" w:val="575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E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5F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Полигон ТКО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t>не определен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49400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</w:t>
            </w:r>
            <w:r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exact" w:val="574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МСК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t>не определен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117000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</w:t>
            </w:r>
            <w:r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exact" w:val="726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C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D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утилизации органической фракции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E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t>не определен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62600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</w:t>
            </w:r>
            <w:r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exact" w:val="84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5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t>не определен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5000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</w:t>
            </w:r>
            <w:r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exact" w:val="453"/>
        </w:trPr>
        <w:tc>
          <w:tcPr>
            <w:tcW w:type="dxa" w:w="9753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</w:rPr>
              <w:t>Петропавловск-камчатский ГО (2 вариант)</w:t>
            </w:r>
          </w:p>
        </w:tc>
      </w:tr>
      <w:tr>
        <w:trPr>
          <w:trHeight w:hRule="exact" w:val="701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C01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</w:rPr>
              <w:t>Полигон ТКО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D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t>не определен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49400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</w:t>
            </w:r>
            <w:r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exact" w:val="84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3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утилизации органической фракции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4010000">
            <w:pPr>
              <w:spacing w:line="240" w:lineRule="auto"/>
              <w:ind/>
              <w:jc w:val="center"/>
            </w:pPr>
            <w:r>
              <w:t>не определен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62600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</w:t>
            </w:r>
            <w:r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exact" w:val="847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9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A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B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t>не определен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5000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</w:t>
            </w:r>
            <w:r>
              <w:rPr>
                <w:rFonts w:ascii="Times New Roman" w:hAnsi="Times New Roman"/>
                <w:highlight w:val="white"/>
              </w:rPr>
              <w:t>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>
        <w:trPr>
          <w:trHeight w:hRule="exact" w:val="422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9186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1010000">
            <w:pPr>
              <w:spacing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Усть-Камчатский муниципальный район</w:t>
            </w:r>
          </w:p>
        </w:tc>
      </w:tr>
      <w:tr>
        <w:trPr>
          <w:trHeight w:hRule="exact" w:val="860"/>
        </w:trP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2010000">
            <w:pPr>
              <w:spacing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  <w:tc>
          <w:tcPr>
            <w:tcW w:type="dxa" w:w="19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3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термического обезвреживания</w:t>
            </w:r>
          </w:p>
        </w:tc>
        <w:tc>
          <w:tcPr>
            <w:tcW w:type="dxa" w:w="25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4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п. Усть-Камчатск</w:t>
            </w:r>
          </w:p>
          <w:p w14:paraId="95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41:09:0010101:437</w:t>
            </w: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7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 1100</w:t>
            </w:r>
          </w:p>
        </w:tc>
        <w:tc>
          <w:tcPr>
            <w:tcW w:type="dxa" w:w="8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8010000">
            <w:pPr>
              <w:spacing w:line="240" w:lineRule="auto"/>
              <w:ind/>
              <w:jc w:val="center"/>
              <w:rPr>
                <w:rFonts w:ascii="Times New Roman" w:hAnsi="Times New Roman"/>
                <w:highlight w:val="white"/>
              </w:rPr>
            </w:pPr>
            <w:r>
              <w:rPr>
                <w:rFonts w:ascii="Times New Roman" w:hAnsi="Times New Roman"/>
                <w:highlight w:val="white"/>
              </w:rPr>
              <w:t>2024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spacing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14:paraId="9A010000">
      <w:pPr>
        <w:pStyle w:val="Style_6"/>
        <w:spacing w:line="276" w:lineRule="auto"/>
        <w:ind/>
      </w:pPr>
      <w:bookmarkStart w:id="3" w:name="_GoBack"/>
      <w:bookmarkEnd w:id="3"/>
    </w:p>
    <w:p w14:paraId="9B010000">
      <w:bookmarkStart w:id="4" w:name="__RefHeading___2"/>
      <w:bookmarkEnd w:id="4"/>
      <w:pPr>
        <w:pStyle w:val="Style_6"/>
        <w:spacing w:line="276" w:lineRule="auto"/>
        <w:ind/>
      </w:pPr>
      <w:r>
        <w:t>10.2. Планируемое строительство объектов обезвреживания и утилизации отходов.</w:t>
      </w:r>
    </w:p>
    <w:p w14:paraId="9C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сегодняшний день глобальное размещение отходов на полигонах является проблемой, имеющей место не только </w:t>
      </w:r>
      <w:r>
        <w:rPr>
          <w:rFonts w:ascii="Times New Roman" w:hAnsi="Times New Roman"/>
          <w:sz w:val="28"/>
        </w:rPr>
        <w:t>на территории Камчатского края</w:t>
      </w:r>
      <w:r>
        <w:rPr>
          <w:rFonts w:ascii="Times New Roman" w:hAnsi="Times New Roman"/>
          <w:sz w:val="28"/>
        </w:rPr>
        <w:t xml:space="preserve">, но и в большинстве регионов Российской Федерации. </w:t>
      </w:r>
    </w:p>
    <w:p w14:paraId="9D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Камчатский край</w:t>
      </w:r>
      <w:r>
        <w:rPr>
          <w:rFonts w:ascii="Times New Roman" w:hAnsi="Times New Roman"/>
          <w:sz w:val="28"/>
        </w:rPr>
        <w:t xml:space="preserve"> имеет </w:t>
      </w:r>
      <w:r>
        <w:rPr>
          <w:rFonts w:ascii="Times New Roman" w:hAnsi="Times New Roman"/>
          <w:sz w:val="28"/>
        </w:rPr>
        <w:t xml:space="preserve">небольшое количество </w:t>
      </w:r>
      <w:r>
        <w:rPr>
          <w:rFonts w:ascii="Times New Roman" w:hAnsi="Times New Roman"/>
          <w:sz w:val="28"/>
        </w:rPr>
        <w:t xml:space="preserve">предприятий </w:t>
      </w:r>
      <w:r>
        <w:rPr>
          <w:rFonts w:ascii="Times New Roman" w:hAnsi="Times New Roman"/>
          <w:sz w:val="28"/>
        </w:rPr>
        <w:t>по утилизации</w:t>
      </w:r>
      <w:r>
        <w:rPr>
          <w:rFonts w:ascii="Times New Roman" w:hAnsi="Times New Roman"/>
          <w:sz w:val="28"/>
        </w:rPr>
        <w:t xml:space="preserve"> имеющихся ВМР для дальнейшей переработки. Плечо удаленности ближайших предприятий делает нерентабельным процесс сортировки, а тем более систему раздельного сбора ТКО. </w:t>
      </w:r>
    </w:p>
    <w:p w14:paraId="9E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Оптимизация подбора производств должна осуществляться исходя из:</w:t>
      </w:r>
    </w:p>
    <w:p w14:paraId="9F010000">
      <w:pPr>
        <w:pStyle w:val="Style_10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Наличия ВМР;</w:t>
      </w:r>
    </w:p>
    <w:p w14:paraId="A0010000">
      <w:pPr>
        <w:pStyle w:val="Style_10"/>
        <w:numPr>
          <w:ilvl w:val="0"/>
          <w:numId w:val="1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Потребности региона в производимой продукции, учитывая достаточно низкую себестоимость продукции, произведенной из ВМР необходимо в первую очередь рассматривать потребности региона, разыгрываемые по госзакупкам.</w:t>
      </w:r>
    </w:p>
    <w:p w14:paraId="A1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Однако учитывая общий объем ВМР, образующийся </w:t>
      </w:r>
      <w:r>
        <w:rPr>
          <w:rFonts w:ascii="Times New Roman" w:hAnsi="Times New Roman"/>
          <w:sz w:val="28"/>
        </w:rPr>
        <w:t>на территории Камчатского края</w:t>
      </w:r>
      <w:r>
        <w:rPr>
          <w:rFonts w:ascii="Times New Roman" w:hAnsi="Times New Roman"/>
          <w:sz w:val="28"/>
        </w:rPr>
        <w:t>, необходимо иметь предприятия по переработке ПЭТ-бутылки, прочих пластиков, пленки, стекла, древесных отходов, бумаги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резинотехнических изделий, строительных материалов, текстиль. Необходим подбор технологий по переработке и использованию биоразлагаемых отходов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Оставшиеся отходы (30%) подлежат захоронению на полигонах, либо также могут стать объектами утилизации, если подвергнуться термической обработке с последующим производством тепла и электроэнергии.</w:t>
      </w:r>
    </w:p>
    <w:p w14:paraId="A201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Стратегия развития промышленности по обработке, утилизации и обезвреживанию отходов производства и потребления на период до 2030 года одним из целевых показателей определяет количество созданных Экотехнопарков. </w:t>
      </w:r>
    </w:p>
    <w:p w14:paraId="A301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Создание Экотехнопарк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предусматривает взаимную увязку функционально зависимых элементов инфраструктуры обращения с отходами путем системного подбора резидентов и сквозную интеграцию их технологических цепочек за счет внебюджетных средств.</w:t>
      </w:r>
    </w:p>
    <w:p w14:paraId="A401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территории Экотехнопарк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предлагается системно интегрировать технологии, направленные на обезвреживание и переработку всех видов отходов, включая обработку органических отходов путем биокомпостирования, глубокую автоматизированную сортировку ТКО, переработку строительных</w:t>
      </w:r>
      <w:r>
        <w:rPr>
          <w:rFonts w:ascii="Times New Roman" w:hAnsi="Times New Roman"/>
          <w:sz w:val="28"/>
        </w:rPr>
        <w:t xml:space="preserve">, медицинских, биологических, производственных отходов, </w:t>
      </w:r>
      <w:r>
        <w:rPr>
          <w:rFonts w:ascii="Times New Roman" w:hAnsi="Times New Roman"/>
          <w:sz w:val="28"/>
        </w:rPr>
        <w:t>а также последующее вовлечение вторичн</w:t>
      </w:r>
      <w:r>
        <w:rPr>
          <w:rFonts w:ascii="Times New Roman" w:hAnsi="Times New Roman"/>
          <w:sz w:val="28"/>
        </w:rPr>
        <w:t>ого сырья</w:t>
      </w:r>
      <w:r>
        <w:rPr>
          <w:rFonts w:ascii="Times New Roman" w:hAnsi="Times New Roman"/>
          <w:sz w:val="28"/>
        </w:rPr>
        <w:t xml:space="preserve"> в хозяйственный оборот.</w:t>
      </w:r>
    </w:p>
    <w:p w14:paraId="A5010000">
      <w:pPr>
        <w:pStyle w:val="Style_11"/>
        <w:spacing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Строительство</w:t>
      </w:r>
      <w:r>
        <w:rPr>
          <w:rFonts w:ascii="Times New Roman" w:hAnsi="Times New Roman"/>
          <w:sz w:val="28"/>
        </w:rPr>
        <w:t xml:space="preserve"> экотехнопарк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позволит создать на территории </w:t>
      </w:r>
      <w:r>
        <w:rPr>
          <w:rFonts w:ascii="Times New Roman" w:hAnsi="Times New Roman"/>
          <w:sz w:val="28"/>
        </w:rPr>
        <w:t>Камчатского края</w:t>
      </w:r>
      <w:r>
        <w:rPr>
          <w:rFonts w:ascii="Times New Roman" w:hAnsi="Times New Roman"/>
          <w:sz w:val="28"/>
        </w:rPr>
        <w:t xml:space="preserve"> новы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рабочи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мест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>, а также увеличить ежегодные отчисления в консолидированный бюджет региона.</w:t>
      </w:r>
    </w:p>
    <w:p w14:paraId="A601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синергии </w:t>
      </w:r>
      <w:r>
        <w:rPr>
          <w:rFonts w:ascii="Times New Roman" w:hAnsi="Times New Roman"/>
          <w:sz w:val="28"/>
        </w:rPr>
        <w:t>подобный</w:t>
      </w:r>
      <w:r>
        <w:rPr>
          <w:rFonts w:ascii="Times New Roman" w:hAnsi="Times New Roman"/>
          <w:sz w:val="28"/>
        </w:rPr>
        <w:t xml:space="preserve"> проект станет новой точкой роста социально-экономического развития </w:t>
      </w:r>
      <w:r>
        <w:rPr>
          <w:rFonts w:ascii="Times New Roman" w:hAnsi="Times New Roman"/>
          <w:sz w:val="28"/>
        </w:rPr>
        <w:t>Камчатского края</w:t>
      </w:r>
      <w:r>
        <w:rPr>
          <w:rFonts w:ascii="Times New Roman" w:hAnsi="Times New Roman"/>
          <w:sz w:val="28"/>
        </w:rPr>
        <w:t>, в результате которого будут открыты новые возможности для развития малого и среднего бизнеса в смежных сферах и отраслях, а также восстановлены и ревитализированы значительные объемы земельных фондов для их последующего вовлечения в хозяйственный оборот.</w:t>
      </w:r>
    </w:p>
    <w:p w14:paraId="A7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Комплекс </w:t>
      </w:r>
      <w:r>
        <w:rPr>
          <w:rFonts w:ascii="Times New Roman" w:hAnsi="Times New Roman"/>
          <w:sz w:val="28"/>
        </w:rPr>
        <w:t>должен</w:t>
      </w:r>
      <w:r>
        <w:rPr>
          <w:rFonts w:ascii="Times New Roman" w:hAnsi="Times New Roman"/>
          <w:sz w:val="28"/>
        </w:rPr>
        <w:t xml:space="preserve"> содержать: </w:t>
      </w:r>
    </w:p>
    <w:p w14:paraId="A8010000">
      <w:pPr>
        <w:pStyle w:val="Style_10"/>
        <w:numPr>
          <w:ilvl w:val="0"/>
          <w:numId w:val="2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глубокую сортировку отходов; </w:t>
      </w:r>
    </w:p>
    <w:p w14:paraId="A9010000">
      <w:pPr>
        <w:pStyle w:val="Style_10"/>
        <w:numPr>
          <w:ilvl w:val="0"/>
          <w:numId w:val="2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систему обезвреживания отходов, в т.ч. высокоопасных;</w:t>
      </w:r>
    </w:p>
    <w:p w14:paraId="AA010000">
      <w:pPr>
        <w:pStyle w:val="Style_10"/>
        <w:numPr>
          <w:ilvl w:val="0"/>
          <w:numId w:val="2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биокомпостирование; </w:t>
      </w:r>
    </w:p>
    <w:p w14:paraId="AB010000">
      <w:pPr>
        <w:pStyle w:val="Style_10"/>
        <w:numPr>
          <w:ilvl w:val="0"/>
          <w:numId w:val="2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рекуперацию и рециклинг крупногабаритного мусора и строительных отходов; </w:t>
      </w:r>
    </w:p>
    <w:p w14:paraId="AC010000">
      <w:pPr>
        <w:pStyle w:val="Style_10"/>
        <w:numPr>
          <w:ilvl w:val="0"/>
          <w:numId w:val="2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производства по выпуску готовой продукции; </w:t>
      </w:r>
    </w:p>
    <w:p w14:paraId="AD010000">
      <w:pPr>
        <w:pStyle w:val="Style_10"/>
        <w:numPr>
          <w:ilvl w:val="0"/>
          <w:numId w:val="2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обезвреживание</w:t>
      </w:r>
      <w:r>
        <w:rPr>
          <w:rFonts w:ascii="Times New Roman" w:hAnsi="Times New Roman"/>
          <w:sz w:val="28"/>
        </w:rPr>
        <w:t xml:space="preserve"> медицинских отходов.  </w:t>
      </w:r>
    </w:p>
    <w:p w14:paraId="AE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Ожидаемый эффект:  </w:t>
      </w:r>
    </w:p>
    <w:p w14:paraId="AF010000">
      <w:pPr>
        <w:pStyle w:val="Style_10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Улучшение санитарно-эпидемиологического благополучия населения и состояния окружающей среды. </w:t>
      </w:r>
    </w:p>
    <w:p w14:paraId="B0010000">
      <w:pPr>
        <w:pStyle w:val="Style_10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Снижение экологического ущерба - объемов размещаемых отходов в природной среде. </w:t>
      </w:r>
    </w:p>
    <w:p w14:paraId="B1010000">
      <w:pPr>
        <w:pStyle w:val="Style_10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Удержание значительного роста тарифной нагрузки на население. </w:t>
      </w:r>
    </w:p>
    <w:p w14:paraId="B2010000">
      <w:pPr>
        <w:pStyle w:val="Style_10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Максимальное вовлечение вторичного сырья в новый товарооборот. </w:t>
      </w:r>
    </w:p>
    <w:p w14:paraId="B3010000">
      <w:pPr>
        <w:pStyle w:val="Style_10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Создание большого количества</w:t>
      </w:r>
      <w:r>
        <w:rPr>
          <w:rFonts w:ascii="Times New Roman" w:hAnsi="Times New Roman"/>
          <w:sz w:val="28"/>
        </w:rPr>
        <w:t xml:space="preserve"> новых рабочих мест, в т.ч. высокотехнологичных. </w:t>
      </w:r>
    </w:p>
    <w:p w14:paraId="B4010000">
      <w:pPr>
        <w:pStyle w:val="Style_10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Инвестиции в развитие отраслевой инфраструктуры региона.  </w:t>
      </w:r>
    </w:p>
    <w:p w14:paraId="B5010000">
      <w:pPr>
        <w:pStyle w:val="Style_10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Рост налоговых отчислений в бюджеты всех уровней. </w:t>
      </w:r>
    </w:p>
    <w:p w14:paraId="B6010000">
      <w:pPr>
        <w:pStyle w:val="Style_10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Точка роста для малого и среднего бизнеса в регионе: создание большого количества смежных предприятий. </w:t>
      </w:r>
    </w:p>
    <w:p w14:paraId="B7010000">
      <w:pPr>
        <w:pStyle w:val="Style_10"/>
        <w:numPr>
          <w:ilvl w:val="0"/>
          <w:numId w:val="3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Привлечение федерального </w:t>
      </w:r>
      <w:r>
        <w:rPr>
          <w:rFonts w:ascii="Times New Roman" w:hAnsi="Times New Roman"/>
          <w:sz w:val="28"/>
        </w:rPr>
        <w:t>финансирования в</w:t>
      </w:r>
      <w:r>
        <w:rPr>
          <w:rFonts w:ascii="Times New Roman" w:hAnsi="Times New Roman"/>
          <w:sz w:val="28"/>
        </w:rPr>
        <w:t xml:space="preserve"> развитие кластера.  </w:t>
      </w:r>
    </w:p>
    <w:p w14:paraId="B8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Дополнительно будет создана система профессионального отраслевого обучения.</w:t>
      </w:r>
    </w:p>
    <w:p w14:paraId="B901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учетом подготовки к реализации на территории Российской Федерации национального проекта «Экология», направленного на комплексную реорганизацию системы обращения с отходами, а также ввиду готовящихся изменений в законодательстве РФ в сфере осуществления стимулирующих мер по созданию технопарков экологической направленности, Экотехнопарк выступ</w:t>
      </w:r>
      <w:r>
        <w:rPr>
          <w:rFonts w:ascii="Times New Roman" w:hAnsi="Times New Roman"/>
          <w:sz w:val="28"/>
        </w:rPr>
        <w:t>ает</w:t>
      </w:r>
      <w:r>
        <w:rPr>
          <w:rFonts w:ascii="Times New Roman" w:hAnsi="Times New Roman"/>
          <w:sz w:val="28"/>
        </w:rPr>
        <w:t xml:space="preserve"> системным интегратором в создании на территории </w:t>
      </w:r>
      <w:r>
        <w:rPr>
          <w:rFonts w:ascii="Times New Roman" w:hAnsi="Times New Roman"/>
          <w:sz w:val="28"/>
        </w:rPr>
        <w:t>Камчатского края</w:t>
      </w:r>
      <w:r>
        <w:rPr>
          <w:rFonts w:ascii="Times New Roman" w:hAnsi="Times New Roman"/>
          <w:sz w:val="28"/>
        </w:rPr>
        <w:t xml:space="preserve"> сети инновационных предприятий по утилизации и обезвреживанию отходов производства и потребления. </w:t>
      </w:r>
    </w:p>
    <w:p w14:paraId="BA010000"/>
    <w:p w14:paraId="BB010000">
      <w:bookmarkStart w:id="5" w:name="__RefHeading___3"/>
      <w:bookmarkEnd w:id="5"/>
      <w:pPr>
        <w:pStyle w:val="Style_6"/>
        <w:spacing w:line="276" w:lineRule="auto"/>
        <w:ind/>
      </w:pPr>
      <w:r>
        <w:t>10.</w:t>
      </w:r>
      <w:r>
        <w:t>3</w:t>
      </w:r>
      <w:r>
        <w:t>.  Выведение из эксплуатации объектов размещения отходов.</w:t>
      </w:r>
    </w:p>
    <w:p w14:paraId="BC010000">
      <w:pPr>
        <w:ind w:firstLine="567" w:left="0"/>
        <w:jc w:val="both"/>
        <w:rPr>
          <w:rFonts w:ascii="Arial" w:hAnsi="Arial"/>
          <w:sz w:val="27"/>
          <w:highlight w:val="white"/>
        </w:rPr>
      </w:pPr>
      <w:r>
        <w:rPr>
          <w:rFonts w:ascii="Times New Roman" w:hAnsi="Times New Roman"/>
          <w:sz w:val="28"/>
        </w:rPr>
        <w:t xml:space="preserve">Санкционированные свалки – разрешенные органами исполнительной власти на местах территории (существующие площадки) для размещения отходов, но не обустроенные и эксплуатируемые с отклонениями от требований санитарно-эпидемиологического надзора, являются временными, подлежат обустройству в соответствии с указанными требованиями или закрытию в сроки, необходимые для проектирования и строительства полигонов, отвечающих требованиям 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  <w:highlight w:val="white"/>
        </w:rPr>
        <w:t>СанПиН 2.1.3684-21)</w:t>
      </w:r>
    </w:p>
    <w:p w14:paraId="BD010000">
      <w:bookmarkStart w:id="6" w:name="__RefHeading___4"/>
      <w:bookmarkEnd w:id="6"/>
      <w:pPr>
        <w:spacing w:after="0"/>
        <w:ind w:firstLine="709" w:left="0"/>
        <w:jc w:val="both"/>
        <w:outlineLvl w:val="1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pacing w:val="1"/>
          <w:sz w:val="28"/>
        </w:rPr>
        <w:t xml:space="preserve">Устройство существующих санкционированных свалок не соответствует требованиям </w:t>
      </w:r>
      <w:r>
        <w:rPr>
          <w:rFonts w:ascii="Times New Roman" w:hAnsi="Times New Roman"/>
          <w:sz w:val="28"/>
        </w:rPr>
        <w:t>Постановления Правительства РФ от 12 октября 2020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г. №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1657 “О Единых требованиях к объектам обработки, утилизации, обезвреживания, размещения твердых коммунальных отходов”,</w:t>
      </w:r>
      <w:r>
        <w:rPr>
          <w:rFonts w:ascii="Arial" w:hAnsi="Arial"/>
          <w:b w:val="1"/>
          <w:sz w:val="27"/>
        </w:rPr>
        <w:t xml:space="preserve"> </w:t>
      </w:r>
      <w:r>
        <w:rPr>
          <w:rFonts w:ascii="Times New Roman" w:hAnsi="Times New Roman"/>
          <w:sz w:val="28"/>
          <w:highlight w:val="white"/>
        </w:rPr>
        <w:t>СанПиН 2.1.3684-21:</w:t>
      </w:r>
    </w:p>
    <w:p w14:paraId="BE01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 предусмотрены технологические решения, обеспечивающие максимально возможное ограничение загрязнения окружающей среды, распространяемого птицами, грызунами, насекомыми и другими животными.</w:t>
      </w:r>
    </w:p>
    <w:p w14:paraId="BF01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 осуществляются меры по охране атмосферного воздуха от поступления в него загрязняющих веществ, входящих в состав размещаемых отходов и (или) веществ, образующихся в массе отходов в процессе их нахождения в объектах размещения за счет физико-химических и биологических процессов, в том числе при взаимодействии с атмосферным воздухом и атмосферными осадками;</w:t>
      </w:r>
    </w:p>
    <w:p w14:paraId="C001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  исключается сброс сточных вод без их предварительной очистки;</w:t>
      </w:r>
    </w:p>
    <w:p w14:paraId="C101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не осуществляются меры по организации сбора и отвода фильтрата;</w:t>
      </w:r>
    </w:p>
    <w:p w14:paraId="C201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не осуществляются меры </w:t>
      </w:r>
      <w:r>
        <w:rPr>
          <w:rFonts w:ascii="Times New Roman" w:hAnsi="Times New Roman"/>
          <w:sz w:val="28"/>
        </w:rPr>
        <w:t>по организации системы наблюдения (мониторинга) за состоянием и загрязнением окружающей среды, оценки и прогноза изменений ее состояния под воздействием объектов размещения отходов.</w:t>
      </w:r>
    </w:p>
    <w:p w14:paraId="C3010000">
      <w:pPr>
        <w:spacing w:after="0"/>
        <w:ind w:firstLine="709" w:left="0"/>
        <w:jc w:val="both"/>
        <w:rPr>
          <w:rFonts w:ascii="Times New Roman" w:hAnsi="Times New Roman"/>
          <w:spacing w:val="1"/>
          <w:sz w:val="28"/>
        </w:rPr>
      </w:pPr>
      <w:r>
        <w:rPr>
          <w:rFonts w:ascii="Times New Roman" w:hAnsi="Times New Roman"/>
          <w:spacing w:val="1"/>
          <w:sz w:val="28"/>
        </w:rPr>
        <w:t>- отсутствуют противофильтрационные экраны;</w:t>
      </w:r>
      <w:r>
        <w:rPr>
          <w:rFonts w:ascii="Times New Roman" w:hAnsi="Times New Roman"/>
          <w:spacing w:val="1"/>
          <w:sz w:val="28"/>
        </w:rPr>
        <w:tab/>
      </w:r>
    </w:p>
    <w:p w14:paraId="C4010000">
      <w:pPr>
        <w:spacing w:after="0"/>
        <w:ind w:firstLine="709" w:left="0"/>
        <w:jc w:val="both"/>
        <w:rPr>
          <w:rFonts w:ascii="Times New Roman" w:hAnsi="Times New Roman"/>
          <w:spacing w:val="1"/>
          <w:sz w:val="28"/>
        </w:rPr>
      </w:pPr>
      <w:r>
        <w:rPr>
          <w:rFonts w:ascii="Times New Roman" w:hAnsi="Times New Roman"/>
          <w:spacing w:val="1"/>
          <w:sz w:val="28"/>
        </w:rPr>
        <w:t>- отсутствует освещение;</w:t>
      </w:r>
    </w:p>
    <w:p w14:paraId="C5010000">
      <w:pPr>
        <w:spacing w:after="0"/>
        <w:ind w:firstLine="709" w:left="0"/>
        <w:jc w:val="both"/>
        <w:rPr>
          <w:rFonts w:ascii="Times New Roman" w:hAnsi="Times New Roman"/>
          <w:spacing w:val="1"/>
          <w:sz w:val="28"/>
        </w:rPr>
      </w:pPr>
      <w:r>
        <w:rPr>
          <w:rFonts w:ascii="Times New Roman" w:hAnsi="Times New Roman"/>
          <w:spacing w:val="1"/>
          <w:sz w:val="28"/>
        </w:rPr>
        <w:t>- не обустроены хозяйственные зоны для размещения производственно - бытового здания для персонала, гаража или навеса для размещения машин и механизмов;</w:t>
      </w:r>
    </w:p>
    <w:p w14:paraId="C6010000">
      <w:pPr>
        <w:spacing w:after="0"/>
        <w:ind w:firstLine="709" w:left="0"/>
        <w:jc w:val="both"/>
        <w:rPr>
          <w:rFonts w:ascii="Times New Roman" w:hAnsi="Times New Roman"/>
          <w:spacing w:val="1"/>
          <w:sz w:val="28"/>
        </w:rPr>
      </w:pPr>
      <w:r>
        <w:rPr>
          <w:rFonts w:ascii="Times New Roman" w:hAnsi="Times New Roman"/>
          <w:spacing w:val="1"/>
          <w:sz w:val="28"/>
        </w:rPr>
        <w:t>- на выезде не предусмотрены контрольно - дезинфицирующие установки с устройством бетонной ванны для ходовой части мусоровозов, с использованием дезинфицирующих средств;</w:t>
      </w:r>
    </w:p>
    <w:p w14:paraId="C7010000">
      <w:pPr>
        <w:spacing w:after="0"/>
        <w:ind w:firstLine="709" w:left="0"/>
        <w:jc w:val="both"/>
        <w:rPr>
          <w:rFonts w:ascii="Times New Roman" w:hAnsi="Times New Roman"/>
          <w:spacing w:val="1"/>
          <w:sz w:val="28"/>
        </w:rPr>
      </w:pPr>
      <w:r>
        <w:rPr>
          <w:rFonts w:ascii="Times New Roman" w:hAnsi="Times New Roman"/>
          <w:spacing w:val="1"/>
          <w:sz w:val="28"/>
        </w:rPr>
        <w:t>- отсутствуют технологические регламенты эксплуатации свалок ТКО;</w:t>
      </w:r>
    </w:p>
    <w:p w14:paraId="C8010000">
      <w:pPr>
        <w:spacing w:after="0"/>
        <w:ind w:firstLine="709" w:left="0"/>
        <w:jc w:val="both"/>
        <w:rPr>
          <w:rFonts w:ascii="Times New Roman" w:hAnsi="Times New Roman"/>
          <w:spacing w:val="1"/>
          <w:sz w:val="28"/>
        </w:rPr>
      </w:pPr>
      <w:r>
        <w:rPr>
          <w:rFonts w:ascii="Times New Roman" w:hAnsi="Times New Roman"/>
          <w:spacing w:val="1"/>
          <w:sz w:val="28"/>
        </w:rPr>
        <w:t>- не проводятся работы по промежуточной и окончательной изоляции отходов;</w:t>
      </w:r>
    </w:p>
    <w:p w14:paraId="C9010000">
      <w:pPr>
        <w:spacing w:after="0"/>
        <w:ind w:firstLine="709" w:left="0"/>
        <w:jc w:val="both"/>
        <w:rPr>
          <w:rFonts w:ascii="Times New Roman" w:hAnsi="Times New Roman"/>
          <w:spacing w:val="1"/>
          <w:sz w:val="28"/>
        </w:rPr>
      </w:pPr>
      <w:r>
        <w:rPr>
          <w:rFonts w:ascii="Times New Roman" w:hAnsi="Times New Roman"/>
          <w:spacing w:val="1"/>
          <w:sz w:val="28"/>
        </w:rPr>
        <w:t>- отсутствует регулярный контроль за поступлением, планировкой и изоляцией ТКО;</w:t>
      </w:r>
    </w:p>
    <w:p w14:paraId="CA010000">
      <w:pPr>
        <w:spacing w:after="0"/>
        <w:ind w:firstLine="709" w:left="0"/>
        <w:jc w:val="both"/>
        <w:rPr>
          <w:rFonts w:ascii="Times New Roman" w:hAnsi="Times New Roman"/>
          <w:spacing w:val="1"/>
          <w:sz w:val="28"/>
        </w:rPr>
      </w:pPr>
      <w:r>
        <w:rPr>
          <w:rFonts w:ascii="Times New Roman" w:hAnsi="Times New Roman"/>
          <w:spacing w:val="1"/>
          <w:sz w:val="28"/>
        </w:rPr>
        <w:t>- складирование отходов осуществляется</w:t>
      </w:r>
      <w:r>
        <w:rPr>
          <w:rFonts w:ascii="Times New Roman" w:hAnsi="Times New Roman"/>
          <w:spacing w:val="1"/>
          <w:sz w:val="28"/>
        </w:rPr>
        <w:t xml:space="preserve"> бесконтрольно</w:t>
      </w:r>
      <w:r>
        <w:rPr>
          <w:rFonts w:ascii="Times New Roman" w:hAnsi="Times New Roman"/>
          <w:spacing w:val="1"/>
          <w:sz w:val="28"/>
        </w:rPr>
        <w:t>;</w:t>
      </w:r>
    </w:p>
    <w:p w14:paraId="CB010000">
      <w:pPr>
        <w:spacing w:after="0"/>
        <w:ind w:firstLine="709" w:left="0"/>
        <w:jc w:val="both"/>
        <w:rPr>
          <w:rFonts w:ascii="Times New Roman" w:hAnsi="Times New Roman"/>
          <w:spacing w:val="1"/>
          <w:sz w:val="28"/>
        </w:rPr>
      </w:pPr>
      <w:r>
        <w:rPr>
          <w:rFonts w:ascii="Times New Roman" w:hAnsi="Times New Roman"/>
          <w:spacing w:val="1"/>
          <w:sz w:val="28"/>
        </w:rPr>
        <w:t>- не осуществляется система мониторинга состояния окружающей среды;</w:t>
      </w:r>
    </w:p>
    <w:p w14:paraId="CC01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1"/>
          <w:sz w:val="28"/>
        </w:rPr>
        <w:t>- не проводится радиационный контроль.</w:t>
      </w:r>
    </w:p>
    <w:p w14:paraId="CD010000">
      <w:pPr>
        <w:tabs>
          <w:tab w:leader="none" w:pos="9923" w:val="left"/>
        </w:tabs>
        <w:spacing w:after="0"/>
        <w:ind w:firstLine="567" w:left="0"/>
        <w:jc w:val="both"/>
        <w:rPr>
          <w:rFonts w:ascii="Times New Roman" w:hAnsi="Times New Roman"/>
          <w:spacing w:val="1"/>
          <w:sz w:val="28"/>
        </w:rPr>
      </w:pPr>
      <w:r>
        <w:rPr>
          <w:rFonts w:ascii="Times New Roman" w:hAnsi="Times New Roman"/>
          <w:sz w:val="28"/>
        </w:rPr>
        <w:t xml:space="preserve">Свалки </w:t>
      </w:r>
      <w:r>
        <w:rPr>
          <w:rFonts w:ascii="Times New Roman" w:hAnsi="Times New Roman"/>
          <w:spacing w:val="1"/>
          <w:sz w:val="28"/>
        </w:rPr>
        <w:t>оказывают негативное воздействие на окружающую среду и человека:</w:t>
      </w:r>
    </w:p>
    <w:p w14:paraId="CE010000">
      <w:pPr>
        <w:tabs>
          <w:tab w:leader="none" w:pos="142" w:val="left"/>
          <w:tab w:leader="none" w:pos="9923" w:val="left"/>
        </w:tabs>
        <w:spacing w:after="0"/>
        <w:ind w:firstLine="567" w:left="0"/>
        <w:jc w:val="both"/>
        <w:rPr>
          <w:rFonts w:ascii="Times New Roman" w:hAnsi="Times New Roman"/>
          <w:spacing w:val="1"/>
          <w:sz w:val="28"/>
        </w:rPr>
      </w:pPr>
      <w:r>
        <w:rPr>
          <w:rFonts w:ascii="Times New Roman" w:hAnsi="Times New Roman"/>
          <w:spacing w:val="1"/>
          <w:sz w:val="28"/>
        </w:rPr>
        <w:t xml:space="preserve">- Химическое воздействие, выражающееся в выделении вредных веществ с эмиссиями фильтрата и биогаза. Выделяющийся из толщи отходов фильтрат содержит растворенные и взвешенные загрязняющие компоненты в опасных концентрациях. При его растекании по поверхности земли загрязняется почва, растительность, поверхностные водоемы и водотоки, подземные воды, донные отложения. </w:t>
      </w:r>
    </w:p>
    <w:p w14:paraId="CF010000">
      <w:pPr>
        <w:tabs>
          <w:tab w:leader="none" w:pos="142" w:val="left"/>
          <w:tab w:leader="none" w:pos="9923" w:val="left"/>
        </w:tabs>
        <w:spacing w:after="0"/>
        <w:ind w:firstLine="567" w:left="0"/>
        <w:jc w:val="both"/>
        <w:rPr>
          <w:rFonts w:ascii="Times New Roman" w:hAnsi="Times New Roman"/>
          <w:spacing w:val="1"/>
          <w:sz w:val="28"/>
        </w:rPr>
      </w:pPr>
      <w:r>
        <w:rPr>
          <w:rFonts w:ascii="Times New Roman" w:hAnsi="Times New Roman"/>
          <w:spacing w:val="1"/>
          <w:sz w:val="28"/>
        </w:rPr>
        <w:t>- Зоогенный фактор, выражающийся в привлечении и размножении насекомых, птиц, млекопитающих.</w:t>
      </w:r>
    </w:p>
    <w:p w14:paraId="D0010000">
      <w:pPr>
        <w:tabs>
          <w:tab w:leader="none" w:pos="142" w:val="left"/>
          <w:tab w:leader="none" w:pos="9923" w:val="left"/>
        </w:tabs>
        <w:spacing w:after="0"/>
        <w:ind w:firstLine="567" w:left="0"/>
        <w:jc w:val="both"/>
        <w:rPr>
          <w:rFonts w:ascii="Times New Roman" w:hAnsi="Times New Roman"/>
          <w:spacing w:val="1"/>
          <w:sz w:val="28"/>
        </w:rPr>
      </w:pPr>
      <w:r>
        <w:rPr>
          <w:rFonts w:ascii="Times New Roman" w:hAnsi="Times New Roman"/>
          <w:spacing w:val="1"/>
          <w:sz w:val="28"/>
        </w:rPr>
        <w:t>- Санитарно-эпидемиологический фактор, заключающийся в возникновении в теле свалки благоприятных условий для развития болезнетворных микроорганизмов.</w:t>
      </w:r>
    </w:p>
    <w:p w14:paraId="D1010000">
      <w:pPr>
        <w:tabs>
          <w:tab w:leader="none" w:pos="142" w:val="left"/>
          <w:tab w:leader="none" w:pos="9923" w:val="left"/>
        </w:tabs>
        <w:spacing w:after="0"/>
        <w:ind w:firstLine="567" w:left="0"/>
        <w:jc w:val="both"/>
        <w:rPr>
          <w:rFonts w:ascii="Times New Roman" w:hAnsi="Times New Roman"/>
          <w:spacing w:val="1"/>
          <w:sz w:val="28"/>
        </w:rPr>
      </w:pPr>
      <w:r>
        <w:rPr>
          <w:rFonts w:ascii="Times New Roman" w:hAnsi="Times New Roman"/>
          <w:spacing w:val="1"/>
          <w:sz w:val="28"/>
        </w:rPr>
        <w:t>- Термический фактор, связанный с выделением тепла при разложении отходов, что приводит к повышению температуры отходов до 40-70°С. При недостаточном оттоке тепла происходит самовозгорание отходов, которое проявляется как в виде поверхностных пожаров, так и в виде скрытого горения в глубоких горизонтах отходов.</w:t>
      </w:r>
    </w:p>
    <w:p w14:paraId="D2010000">
      <w:pPr>
        <w:widowControl w:val="0"/>
        <w:tabs>
          <w:tab w:leader="none" w:pos="142" w:val="left"/>
          <w:tab w:leader="none" w:pos="1123" w:val="left"/>
          <w:tab w:leader="none" w:pos="9923" w:val="left"/>
        </w:tabs>
        <w:spacing w:after="0"/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1"/>
          <w:sz w:val="28"/>
        </w:rPr>
        <w:t xml:space="preserve">- Социальный фактор, заключающийся в том, что свалки создают зону риска и дискомфорта для людей, проживающих и работающих вблизи территории свалок. </w:t>
      </w:r>
      <w:r>
        <w:rPr>
          <w:rFonts w:ascii="Times New Roman" w:hAnsi="Times New Roman"/>
          <w:sz w:val="28"/>
        </w:rPr>
        <w:t>Население подвергается как прямому влиянию свалок, так и опосредованному - при контакте с загрязненными компонентами окружающей среды.</w:t>
      </w:r>
    </w:p>
    <w:p w14:paraId="D3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Существующие свалки характеризуются длительным и интенсивным отрицательным воздействием на природные среды, отсутствием правоустанавливающих документов на земельные участки, проектной документации, инженерной подготовки территории. Нормативные требования и стандарты по техническому обустройству и содержанию объектов обращения с отходами, технологический регламент работ при эксплуатации свалок не выдерживаются. Как правило, отсутствует достаточная информация о составе и объеме отходов, возрасте свалок, особенностях складирования отходов. Существующие свалки оказывают негативное воздействие на окружающую среду и человека. Сточные воды, которые вытекают из тел свалок, образующиеся при воздействии природных осадков и физико-химических процессов, протекающих в ТКО, содержат в большом объеме крайне токсичные органические загрязнения. Неконтролируемые процессы в телах свалок приводят к формированию болезнетворной микрофлоры, также усугубляющей опасность фильтрата. Кроме выделений фильтрата из тел свалок в атмосферу постоянно поступают газообразные продукты распада ТКО – метан, аммиак и прочее. Они </w:t>
      </w:r>
      <w:r>
        <w:rPr>
          <w:rFonts w:ascii="Times New Roman" w:hAnsi="Times New Roman"/>
          <w:sz w:val="28"/>
        </w:rPr>
        <w:t xml:space="preserve">являются источником систематических пожаров на свалках, которые, в свою очередь, загрязняют атмосферу. </w:t>
      </w:r>
    </w:p>
    <w:p w14:paraId="D4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предоставленной информации на территории </w:t>
      </w:r>
      <w:r>
        <w:rPr>
          <w:rFonts w:ascii="Times New Roman" w:hAnsi="Times New Roman"/>
          <w:sz w:val="28"/>
        </w:rPr>
        <w:t>Камчатского края</w:t>
      </w:r>
      <w:r>
        <w:rPr>
          <w:rFonts w:ascii="Times New Roman" w:hAnsi="Times New Roman"/>
          <w:sz w:val="28"/>
        </w:rPr>
        <w:t xml:space="preserve"> зарегистрированы </w:t>
      </w:r>
      <w:r>
        <w:rPr>
          <w:rFonts w:ascii="Times New Roman" w:hAnsi="Times New Roman"/>
          <w:b w:val="1"/>
          <w:sz w:val="28"/>
        </w:rPr>
        <w:t>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санкционированных объектов размещения отходов, подлежащих реконструкции/ликвидации, общей площадью </w:t>
      </w:r>
      <w:r>
        <w:rPr>
          <w:rFonts w:ascii="Times New Roman" w:hAnsi="Times New Roman"/>
          <w:b w:val="1"/>
          <w:sz w:val="28"/>
        </w:rPr>
        <w:t>244,6591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Га</w:t>
      </w:r>
      <w:r>
        <w:rPr>
          <w:rFonts w:ascii="Times New Roman" w:hAnsi="Times New Roman"/>
          <w:sz w:val="28"/>
        </w:rPr>
        <w:t>, в том числе</w:t>
      </w:r>
      <w:r>
        <w:rPr>
          <w:rFonts w:ascii="Times New Roman" w:hAnsi="Times New Roman"/>
          <w:sz w:val="28"/>
        </w:rPr>
        <w:t xml:space="preserve"> объекты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указанные в</w:t>
      </w:r>
      <w:r>
        <w:rPr>
          <w:rFonts w:ascii="Times New Roman" w:hAnsi="Times New Roman"/>
          <w:sz w:val="28"/>
        </w:rPr>
        <w:t xml:space="preserve"> Приложени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10.1</w:t>
      </w:r>
    </w:p>
    <w:p w14:paraId="D5010000">
      <w:pPr>
        <w:ind w:firstLine="709" w:left="0"/>
        <w:jc w:val="both"/>
        <w:rPr>
          <w:rFonts w:ascii="Times New Roman" w:hAnsi="Times New Roman"/>
          <w:sz w:val="28"/>
        </w:rPr>
      </w:pPr>
    </w:p>
    <w:p w14:paraId="D6010000">
      <w:bookmarkStart w:id="7" w:name="__RefHeading___5"/>
      <w:bookmarkEnd w:id="7"/>
      <w:pPr>
        <w:pStyle w:val="Style_6"/>
        <w:spacing w:line="276" w:lineRule="auto"/>
        <w:ind/>
        <w:rPr>
          <w:b w:val="0"/>
        </w:rPr>
      </w:pPr>
      <w:r>
        <w:t>10.</w:t>
      </w:r>
      <w:r>
        <w:t>4</w:t>
      </w:r>
      <w:r>
        <w:t xml:space="preserve">. Вариантная проработка развития системы обращения с отходами на территории </w:t>
      </w:r>
      <w:r>
        <w:t>Камчатского края</w:t>
      </w:r>
      <w:r>
        <w:t>.</w:t>
      </w:r>
    </w:p>
    <w:p w14:paraId="D7010000">
      <w:pPr>
        <w:spacing w:after="0"/>
        <w:ind w:firstLine="709" w:left="0" w:right="4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Учитывая сложившуюся в регионе систему сбора и утилизации ТКО, а также ранее накопленные объемы отходов и образующиеся ежегодно, мощностей существующих предприятий по переработке и утилизации отходов недостаточно.</w:t>
      </w:r>
    </w:p>
    <w:p w14:paraId="D8010000">
      <w:pPr>
        <w:spacing w:after="0"/>
        <w:ind w:firstLine="709" w:left="0" w:right="4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Необходимо создание развитой коммунальной инфраструктуры в сфере обращения с отходами с применением самых современных и оптимальных технологических решений в области переработки отходов:</w:t>
      </w:r>
    </w:p>
    <w:p w14:paraId="D9010000">
      <w:pPr>
        <w:pStyle w:val="Style_12"/>
        <w:numPr>
          <w:ilvl w:val="0"/>
          <w:numId w:val="4"/>
        </w:numPr>
        <w:spacing w:line="276" w:lineRule="auto"/>
        <w:ind w:hanging="357" w:left="714" w:right="403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Комплексов по переработке биоразлагаемых отходов</w:t>
      </w:r>
      <w:r>
        <w:rPr>
          <w:rFonts w:ascii="Times New Roman" w:hAnsi="Times New Roman"/>
          <w:color w:val="000000"/>
          <w:sz w:val="28"/>
        </w:rPr>
        <w:t xml:space="preserve"> (Приложение 10.2)</w:t>
      </w:r>
    </w:p>
    <w:p w14:paraId="DA010000">
      <w:pPr>
        <w:pStyle w:val="Style_12"/>
        <w:numPr>
          <w:ilvl w:val="0"/>
          <w:numId w:val="4"/>
        </w:numPr>
        <w:spacing w:line="276" w:lineRule="auto"/>
        <w:ind w:hanging="357" w:left="714" w:right="403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Комплексов по переработке строительных отходов с производством высоколиквидной товарной продукции (Приложение 10.3)</w:t>
      </w:r>
    </w:p>
    <w:p w14:paraId="DB010000">
      <w:pPr>
        <w:pStyle w:val="Style_12"/>
        <w:numPr>
          <w:ilvl w:val="0"/>
          <w:numId w:val="4"/>
        </w:numPr>
        <w:spacing w:line="276" w:lineRule="auto"/>
        <w:ind w:hanging="357" w:left="714" w:right="403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Комплексов по переработке золошлаковых отходов (Приложение 10.4)</w:t>
      </w:r>
    </w:p>
    <w:p w14:paraId="DC010000">
      <w:pPr>
        <w:pStyle w:val="Style_12"/>
        <w:numPr>
          <w:ilvl w:val="0"/>
          <w:numId w:val="4"/>
        </w:numPr>
        <w:spacing w:line="276" w:lineRule="auto"/>
        <w:ind w:hanging="357" w:left="714" w:right="403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Системы компостирования с п</w:t>
      </w:r>
      <w:r>
        <w:rPr>
          <w:rFonts w:ascii="Times New Roman" w:hAnsi="Times New Roman"/>
          <w:color w:val="000000"/>
          <w:sz w:val="28"/>
        </w:rPr>
        <w:t>олучением технического компоста.</w:t>
      </w:r>
    </w:p>
    <w:p w14:paraId="DD010000">
      <w:pPr>
        <w:pStyle w:val="Style_10"/>
        <w:spacing w:after="0"/>
        <w:ind w:firstLine="709" w:left="0"/>
        <w:rPr>
          <w:rFonts w:ascii="Times New Roman" w:hAnsi="Times New Roman"/>
          <w:b w:val="1"/>
          <w:sz w:val="32"/>
        </w:rPr>
      </w:pPr>
    </w:p>
    <w:p w14:paraId="DE010000">
      <w:pPr>
        <w:pStyle w:val="Style_10"/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Учитывая климатические особенности </w:t>
      </w:r>
      <w:r>
        <w:rPr>
          <w:rFonts w:ascii="Times New Roman" w:hAnsi="Times New Roman"/>
          <w:sz w:val="28"/>
        </w:rPr>
        <w:t>Камчатского края</w:t>
      </w:r>
      <w:r>
        <w:rPr>
          <w:rFonts w:ascii="Times New Roman" w:hAnsi="Times New Roman"/>
          <w:sz w:val="28"/>
        </w:rPr>
        <w:t xml:space="preserve">, большие территории с низкой плотностью заселенности и отсутствием  транспортной инфраструктуры, необходимо </w:t>
      </w:r>
      <w:r>
        <w:rPr>
          <w:rFonts w:ascii="Times New Roman" w:hAnsi="Times New Roman"/>
          <w:sz w:val="28"/>
        </w:rPr>
        <w:t xml:space="preserve">рассмотреть возможность </w:t>
      </w:r>
      <w:r>
        <w:rPr>
          <w:rFonts w:ascii="Times New Roman" w:hAnsi="Times New Roman"/>
          <w:sz w:val="28"/>
        </w:rPr>
        <w:t>применени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 xml:space="preserve"> термического обезвреживания отходов</w:t>
      </w:r>
      <w:r>
        <w:rPr>
          <w:rFonts w:ascii="Times New Roman" w:hAnsi="Times New Roman"/>
          <w:sz w:val="28"/>
        </w:rPr>
        <w:t>.</w:t>
      </w:r>
    </w:p>
    <w:p w14:paraId="DF010000">
      <w:pPr>
        <w:pStyle w:val="Style_10"/>
        <w:spacing w:after="0"/>
        <w:ind/>
        <w:jc w:val="both"/>
        <w:rPr>
          <w:rFonts w:ascii="Times New Roman" w:hAnsi="Times New Roman"/>
          <w:b w:val="1"/>
          <w:sz w:val="32"/>
        </w:rPr>
      </w:pPr>
    </w:p>
    <w:p w14:paraId="E0010000">
      <w:pPr>
        <w:spacing w:after="0"/>
        <w:ind w:right="40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Использование </w:t>
      </w:r>
      <w:r>
        <w:rPr>
          <w:rFonts w:ascii="Times New Roman" w:hAnsi="Times New Roman"/>
          <w:sz w:val="28"/>
        </w:rPr>
        <w:t xml:space="preserve">предложенных технологий </w:t>
      </w:r>
      <w:r>
        <w:rPr>
          <w:rFonts w:ascii="Times New Roman" w:hAnsi="Times New Roman"/>
          <w:sz w:val="28"/>
        </w:rPr>
        <w:t>позволит:</w:t>
      </w:r>
    </w:p>
    <w:p w14:paraId="E1010000">
      <w:pPr>
        <w:pStyle w:val="Style_10"/>
        <w:numPr>
          <w:ilvl w:val="0"/>
          <w:numId w:val="5"/>
        </w:numPr>
        <w:spacing w:after="0"/>
        <w:ind w:right="40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оптимизировать деятельность по работе с ТКО;</w:t>
      </w:r>
    </w:p>
    <w:p w14:paraId="E2010000">
      <w:pPr>
        <w:pStyle w:val="Style_10"/>
        <w:numPr>
          <w:ilvl w:val="0"/>
          <w:numId w:val="5"/>
        </w:numPr>
        <w:spacing w:after="0"/>
        <w:ind w:right="40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регулировать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работу регионального оператора;</w:t>
      </w:r>
    </w:p>
    <w:p w14:paraId="E3010000">
      <w:pPr>
        <w:pStyle w:val="Style_10"/>
        <w:numPr>
          <w:ilvl w:val="0"/>
          <w:numId w:val="5"/>
        </w:numPr>
        <w:spacing w:after="0"/>
        <w:ind w:right="40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стимулировать строительство объектов инфраструктуры  по переработке ТКО;</w:t>
      </w:r>
    </w:p>
    <w:p w14:paraId="E4010000">
      <w:pPr>
        <w:pStyle w:val="Style_10"/>
        <w:numPr>
          <w:ilvl w:val="0"/>
          <w:numId w:val="5"/>
        </w:numPr>
        <w:spacing w:after="0"/>
        <w:ind w:right="40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создать стабильные высокорентабельные производства на территории региона с постоянными рабочими местами;</w:t>
      </w:r>
    </w:p>
    <w:p w14:paraId="E5010000">
      <w:pPr>
        <w:pStyle w:val="Style_10"/>
        <w:numPr>
          <w:ilvl w:val="0"/>
          <w:numId w:val="5"/>
        </w:numPr>
        <w:spacing w:after="0"/>
        <w:ind w:right="40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вернуть в товарный оборот ценные вторичные ресурсы, получаемые из отходов, производить новые виды товарной продукции</w:t>
      </w:r>
    </w:p>
    <w:p w14:paraId="E6010000">
      <w:pPr>
        <w:pStyle w:val="Style_10"/>
        <w:numPr>
          <w:ilvl w:val="0"/>
          <w:numId w:val="5"/>
        </w:numPr>
        <w:spacing w:after="0"/>
        <w:ind w:right="402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28"/>
        </w:rPr>
        <w:t>улучшить санитарную и  экологическую обстановку.</w:t>
      </w:r>
    </w:p>
    <w:p w14:paraId="E7010000">
      <w:pPr>
        <w:ind w:firstLine="709" w:left="0"/>
        <w:jc w:val="both"/>
        <w:rPr>
          <w:rFonts w:ascii="Times New Roman" w:hAnsi="Times New Roman"/>
          <w:sz w:val="28"/>
        </w:rPr>
      </w:pPr>
    </w:p>
    <w:p w14:paraId="E8010000">
      <w:pPr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Предлагается: </w:t>
      </w:r>
    </w:p>
    <w:p w14:paraId="E9010000">
      <w:pPr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отношении объектов обращения:</w:t>
      </w:r>
    </w:p>
    <w:p w14:paraId="EA010000">
      <w:pPr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Вновь создаваемые и существующие объекты обращения с отходами планируется оснащать системами контроля доступа и передачи данных весового контроля (далее - системы управления) интегрированные в информационную систему управления отходами. Системы управления должны обеспечить:</w:t>
      </w:r>
    </w:p>
    <w:p w14:paraId="EB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предотвращение размещения на объектах обращения с отходами отходов, не предназначенных для размещения на конкретном объекте;</w:t>
      </w:r>
    </w:p>
    <w:p w14:paraId="EC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в режиме реального времени контролировать объемы отходов, поступающих и вывозимых с объектов обращения.</w:t>
      </w:r>
    </w:p>
    <w:p w14:paraId="ED01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отношении качества сбора ТКО и содержания мест накопления ТКО:</w:t>
      </w:r>
    </w:p>
    <w:p w14:paraId="EE010000">
      <w:pPr>
        <w:ind w:firstLine="709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 xml:space="preserve">- внедрение систем автоматического контроля за соблюдением графиков вывоза ТКО и автоматического контроля за качеством сбора ТКО (нахождение отходов вне контейнеров, фиксация фактов несвоевременного вывоза КГО), выявления фактов переполнения контейнеров. </w:t>
      </w:r>
    </w:p>
    <w:p w14:paraId="EF010000">
      <w:pPr>
        <w:spacing w:after="0"/>
        <w:ind w:firstLine="709" w:left="0"/>
        <w:contextualSpacing w:val="1"/>
        <w:jc w:val="both"/>
        <w:outlineLvl w:val="2"/>
        <w:rPr>
          <w:rFonts w:ascii="Times New Roman" w:hAnsi="Times New Roman"/>
          <w:b w:val="1"/>
          <w:sz w:val="28"/>
        </w:rPr>
      </w:pPr>
    </w:p>
    <w:p w14:paraId="F0010000">
      <w:bookmarkStart w:id="8" w:name="__RefHeading___6"/>
      <w:bookmarkEnd w:id="8"/>
      <w:pPr>
        <w:spacing w:after="0"/>
        <w:ind w:firstLine="709" w:left="0"/>
        <w:contextualSpacing w:val="1"/>
        <w:jc w:val="both"/>
        <w:outlineLvl w:val="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10.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b w:val="1"/>
          <w:sz w:val="28"/>
        </w:rPr>
        <w:t>.1. Раздельн</w:t>
      </w:r>
      <w:r>
        <w:rPr>
          <w:rFonts w:ascii="Times New Roman" w:hAnsi="Times New Roman"/>
          <w:b w:val="1"/>
          <w:sz w:val="28"/>
        </w:rPr>
        <w:t>ое накопление</w:t>
      </w:r>
      <w:r>
        <w:rPr>
          <w:rFonts w:ascii="Times New Roman" w:hAnsi="Times New Roman"/>
          <w:b w:val="1"/>
          <w:sz w:val="28"/>
        </w:rPr>
        <w:t xml:space="preserve"> ТКО, как перспектива создания сбора качественного вторичного сырья</w:t>
      </w:r>
    </w:p>
    <w:p w14:paraId="F1010000">
      <w:pPr>
        <w:spacing w:after="0"/>
        <w:ind w:firstLine="709" w:left="0"/>
        <w:jc w:val="both"/>
        <w:rPr>
          <w:rFonts w:ascii="Times New Roman" w:hAnsi="Times New Roman"/>
          <w:sz w:val="28"/>
          <w:highlight w:val="white"/>
        </w:rPr>
      </w:pPr>
    </w:p>
    <w:p w14:paraId="F2010000">
      <w:pPr>
        <w:spacing w:after="0"/>
        <w:ind w:firstLine="709" w:left="0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Президентом России был подписан </w:t>
      </w:r>
      <w:r>
        <w:rPr>
          <w:rFonts w:ascii="Times New Roman" w:hAnsi="Times New Roman"/>
          <w:sz w:val="28"/>
          <w:highlight w:val="white"/>
        </w:rPr>
        <w:t xml:space="preserve">Федеральный закон от 31.12.2017 года </w:t>
      </w:r>
      <w:r>
        <w:rPr>
          <w:rFonts w:ascii="Times New Roman" w:hAnsi="Times New Roman"/>
          <w:sz w:val="28"/>
          <w:highlight w:val="white"/>
        </w:rPr>
        <w:t>503-ФЗ</w:t>
      </w:r>
      <w:r>
        <w:rPr>
          <w:rFonts w:ascii="Times New Roman" w:hAnsi="Times New Roman"/>
          <w:sz w:val="28"/>
          <w:highlight w:val="white"/>
        </w:rPr>
        <w:t xml:space="preserve"> «</w:t>
      </w:r>
      <w:r>
        <w:rPr>
          <w:rFonts w:ascii="Times New Roman" w:hAnsi="Times New Roman"/>
          <w:sz w:val="28"/>
          <w:highlight w:val="white"/>
        </w:rPr>
        <w:t>О внесении изменений в</w:t>
      </w:r>
      <w:r>
        <w:rPr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Федеральный</w:t>
      </w:r>
      <w:r>
        <w:rPr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закон</w:t>
      </w:r>
      <w:r>
        <w:rPr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"Об отходах производства и потребления" и отдельные законодательные акты Российской Федерации»</w:t>
      </w:r>
      <w:r>
        <w:rPr>
          <w:rFonts w:ascii="Times New Roman" w:hAnsi="Times New Roman"/>
          <w:sz w:val="28"/>
          <w:highlight w:val="white"/>
        </w:rPr>
        <w:t xml:space="preserve">, закрепляющий в нашей стране раздельный сбор твердых бытовых отходов. В документе также содержатся меры, которыми физических лиц и организации будут стимулировать сортировать выбрасываемый мусор. Законодательство о раздельном сборе мусора рассчитано на многолетнюю реализацию и постепенный переход на цивилизованные нормы обращения с отходами. </w:t>
      </w:r>
    </w:p>
    <w:p w14:paraId="F301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Региональные власти имеют право для самостоятельного определения того, какое количество ТКО будет собираться в раздельном режиме. Накопление отходов – лицензируемая деятельность, так как она способна </w:t>
      </w:r>
      <w:r>
        <w:rPr>
          <w:rFonts w:ascii="Times New Roman" w:hAnsi="Times New Roman"/>
          <w:sz w:val="28"/>
          <w:highlight w:val="white"/>
        </w:rPr>
        <w:t xml:space="preserve">оказывать негативное воздействие на окружающую среду и самочувствие людей. </w:t>
      </w:r>
      <w:r>
        <w:rPr>
          <w:rFonts w:ascii="Times New Roman" w:hAnsi="Times New Roman"/>
          <w:sz w:val="28"/>
          <w:highlight w:val="white"/>
        </w:rPr>
        <w:t>Федеральный закон от 31.12.2017 года 503-ФЗ «</w:t>
      </w:r>
      <w:r>
        <w:rPr>
          <w:rFonts w:ascii="Times New Roman" w:hAnsi="Times New Roman"/>
          <w:sz w:val="28"/>
          <w:highlight w:val="white"/>
        </w:rPr>
        <w:t>О внесении изменений в</w:t>
      </w:r>
      <w:r>
        <w:rPr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Федеральный</w:t>
      </w:r>
      <w:r>
        <w:rPr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закон</w:t>
      </w:r>
      <w:r>
        <w:rPr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 xml:space="preserve">"Об отходах производства и потребления" и отдельные законодательные акты Российской Федерации» </w:t>
      </w:r>
      <w:r>
        <w:rPr>
          <w:rFonts w:ascii="Times New Roman" w:hAnsi="Times New Roman"/>
          <w:sz w:val="28"/>
          <w:highlight w:val="white"/>
        </w:rPr>
        <w:t>позволяет заниматься этим без оформления лицензии домохозяйствам и магазинам. Граждане могут напрямую продавать вторичное сырье, а у производителей товаров имеется возможность налаживания системы специализированного сбора.</w:t>
      </w:r>
    </w:p>
    <w:p w14:paraId="F401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 xml:space="preserve">В настоящий момент в нашей стране производится переработка лишь небольшой доли от всего образующегося мусора – она составляет около 10 процентов. Технологические возможности перерабатывающих предприятий позволяют увеличить эту долю, но для начала нужно решить проблему с сильной загрязненностью пищевыми отходами. Эксперты говорят о том, что в России пока рано повсеместно устанавливать отдельные контейнеры для бумажного, пластикового и стеклянного мусора. Начинать нужно с разделения отходов на две части – пищевые отходы и все остальное, представляющее собой потенциальные вторичные ресурсы. Наиболее востребованными у переработчиков являются такие материалы, как стекло, бумага, пластик и лом металлов. В России хорошо налажена система переработки гофрокартона – он примерно на 80 процентов используется вторично. </w:t>
      </w:r>
    </w:p>
    <w:p w14:paraId="F501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При отделении вторсырья от общего объема смешанных отходов количество последних уменьшается. Крупные организации, занимающиеся вывозом мусора, несут от этого убытки, так как они получают оплату именно за вывезенный объем. В такой ситуации инициаторы установки баков для вторсырья могут столкнуться с противодействием.</w:t>
      </w:r>
    </w:p>
    <w:p w14:paraId="F6010000">
      <w:bookmarkStart w:id="9" w:name="__RefHeading___7"/>
      <w:bookmarkEnd w:id="9"/>
      <w:pPr>
        <w:pStyle w:val="Style_6"/>
        <w:spacing w:after="0" w:line="276" w:lineRule="auto"/>
        <w:ind/>
        <w:rPr>
          <w:b w:val="0"/>
        </w:rPr>
      </w:pPr>
      <w:r>
        <w:rPr>
          <w:b w:val="0"/>
        </w:rPr>
        <w:t>Региональный оператор имеет право не разрешить другим компаниям выстраивать систему РСО на контейнерных площадках, о чем </w:t>
      </w:r>
      <w:r>
        <w:rPr>
          <w:b w:val="0"/>
        </w:rPr>
        <w:t>написано</w:t>
      </w:r>
      <w:r>
        <w:rPr>
          <w:b w:val="0"/>
        </w:rPr>
        <w:t> в П</w:t>
      </w:r>
      <w:r>
        <w:rPr>
          <w:b w:val="0"/>
        </w:rPr>
        <w:t>остановлении Правительства</w:t>
      </w:r>
      <w:r>
        <w:rPr>
          <w:b w:val="0"/>
        </w:rPr>
        <w:t xml:space="preserve"> РФ от 12.11.2016</w:t>
      </w:r>
      <w:r>
        <w:rPr>
          <w:b w:val="0"/>
        </w:rPr>
        <w:t xml:space="preserve"> № 1156 </w:t>
      </w:r>
      <w:r>
        <w:rPr>
          <w:b w:val="0"/>
        </w:rPr>
        <w:t>"Об обращении с твердыми коммунальными отходами и внесении изменения в постановление Правительства Российской Федерации от 25 августа 2008 г. N 641"</w:t>
      </w:r>
      <w:r>
        <w:rPr>
          <w:b w:val="0"/>
        </w:rPr>
        <w:t xml:space="preserve"> </w:t>
      </w:r>
      <w:r>
        <w:rPr>
          <w:b w:val="0"/>
        </w:rPr>
        <w:t xml:space="preserve">(п. 21): </w:t>
      </w:r>
      <w:r>
        <w:rPr>
          <w:b w:val="0"/>
        </w:rPr>
        <w:t>«</w:t>
      </w:r>
      <w:r>
        <w:rPr>
          <w:b w:val="0"/>
        </w:rPr>
        <w:t>Запрещается организовывать места сбора отходов от использования потребительских товаров и упаковки, утративших свои потребительские свойства, входящих в состав твердых коммунальных отходов, на контейнерных площадках и специальных площадках для складирования крупногабаритных отходов без письменного согласия регионального оператора</w:t>
      </w:r>
      <w:r>
        <w:rPr>
          <w:b w:val="0"/>
        </w:rPr>
        <w:t>»</w:t>
      </w:r>
      <w:r>
        <w:rPr>
          <w:b w:val="0"/>
        </w:rPr>
        <w:t>.</w:t>
      </w:r>
    </w:p>
    <w:p w14:paraId="F7010000">
      <w:pPr>
        <w:pStyle w:val="Style_13"/>
        <w:spacing w:after="420" w:before="0" w:line="276" w:lineRule="auto"/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 xml:space="preserve">Для сокращения объемов полигонного захоронения необходимо повышать эффективность сортировки -  это возможно только при </w:t>
      </w:r>
      <w:r>
        <w:rPr>
          <w:sz w:val="28"/>
        </w:rPr>
        <w:t>предварительном раздельном накоплении. Дополнительным стимулом можно считать возможность сотрудничать с компаниями, реализующими РОП, и </w:t>
      </w:r>
      <w:r>
        <w:rPr>
          <w:sz w:val="28"/>
        </w:rPr>
        <w:t>«</w:t>
      </w:r>
      <w:r>
        <w:rPr>
          <w:sz w:val="28"/>
        </w:rPr>
        <w:t>обменивать</w:t>
      </w:r>
      <w:r>
        <w:rPr>
          <w:sz w:val="28"/>
        </w:rPr>
        <w:t>»</w:t>
      </w:r>
      <w:r>
        <w:rPr>
          <w:sz w:val="28"/>
        </w:rPr>
        <w:t xml:space="preserve"> финансирование системы РСО на акты утилизации.</w:t>
      </w:r>
    </w:p>
    <w:p w14:paraId="F8010000">
      <w:pPr>
        <w:pStyle w:val="Style_13"/>
        <w:spacing w:after="420" w:before="0" w:line="276" w:lineRule="auto"/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>Существует вероятность, что региональный оператор не захочет разрушать налаженную систему и интегрирует действующие проекты в свою работу на основе агентских соглашений. В 2018 году в понятийном аппарате появилась новинка (</w:t>
      </w:r>
      <w:r>
        <w:rPr>
          <w:sz w:val="28"/>
          <w:highlight w:val="white"/>
        </w:rPr>
        <w:t>Федеральный закон от 31.12.2017 года 503-ФЗ «О внесении изменений в </w:t>
      </w:r>
      <w:r>
        <w:rPr>
          <w:sz w:val="28"/>
          <w:highlight w:val="white"/>
        </w:rPr>
        <w:t>Федеральный</w:t>
      </w:r>
      <w:r>
        <w:rPr>
          <w:sz w:val="28"/>
          <w:highlight w:val="white"/>
        </w:rPr>
        <w:t> </w:t>
      </w:r>
      <w:r>
        <w:rPr>
          <w:sz w:val="28"/>
          <w:highlight w:val="white"/>
        </w:rPr>
        <w:t>закон</w:t>
      </w:r>
      <w:r>
        <w:rPr>
          <w:sz w:val="28"/>
          <w:highlight w:val="white"/>
        </w:rPr>
        <w:t> "Об отходах производства и потребления" и отдельные законодательные акты Российской Федерации»</w:t>
      </w:r>
      <w:r>
        <w:rPr>
          <w:sz w:val="28"/>
        </w:rPr>
        <w:t xml:space="preserve">) — отдельный от ТКО термин </w:t>
      </w:r>
      <w:r>
        <w:rPr>
          <w:sz w:val="28"/>
        </w:rPr>
        <w:t>«</w:t>
      </w:r>
      <w:r>
        <w:rPr>
          <w:sz w:val="28"/>
        </w:rPr>
        <w:t>отходы от использования товаров</w:t>
      </w:r>
      <w:r>
        <w:rPr>
          <w:sz w:val="28"/>
        </w:rPr>
        <w:t>»</w:t>
      </w:r>
      <w:r>
        <w:rPr>
          <w:sz w:val="28"/>
        </w:rPr>
        <w:t xml:space="preserve"> (ОИТ). Если это не ТКО, то логично считать, что к ним не предъявляются требования как к этому типу отходов и что их можно накапливать вне контейнерных площадок.</w:t>
      </w:r>
      <w:r>
        <w:rPr>
          <w:sz w:val="28"/>
        </w:rPr>
        <w:t xml:space="preserve"> </w:t>
      </w:r>
    </w:p>
    <w:p w14:paraId="F9010000">
      <w:pPr>
        <w:pStyle w:val="Style_13"/>
        <w:spacing w:after="420" w:before="0" w:line="276" w:lineRule="auto"/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 xml:space="preserve">Состав ТКО жилищного фонда и предприятий резко отличается. В соответствии со справочником </w:t>
      </w:r>
      <w:r>
        <w:rPr>
          <w:sz w:val="28"/>
        </w:rPr>
        <w:t>«</w:t>
      </w:r>
      <w:r>
        <w:rPr>
          <w:sz w:val="28"/>
        </w:rPr>
        <w:t>Санитарная очистка и уборка населенных мест</w:t>
      </w:r>
      <w:r>
        <w:rPr>
          <w:sz w:val="28"/>
        </w:rPr>
        <w:t>»</w:t>
      </w:r>
      <w:r>
        <w:rPr>
          <w:sz w:val="28"/>
        </w:rPr>
        <w:t xml:space="preserve"> в таблице 10.2 представлен морфологический состав ТКО жилищного фонда и предприятий.</w:t>
      </w:r>
    </w:p>
    <w:p w14:paraId="FA010000">
      <w:pPr>
        <w:pStyle w:val="Style_13"/>
        <w:spacing w:after="420" w:before="0" w:line="276" w:lineRule="auto"/>
        <w:ind w:firstLine="709" w:left="0"/>
        <w:contextualSpacing w:val="1"/>
        <w:jc w:val="both"/>
        <w:rPr>
          <w:sz w:val="28"/>
        </w:rPr>
      </w:pPr>
    </w:p>
    <w:p w14:paraId="FB010000">
      <w:pPr>
        <w:pStyle w:val="Style_13"/>
        <w:spacing w:after="420" w:before="0" w:line="276" w:lineRule="auto"/>
        <w:ind w:firstLine="709" w:left="0"/>
        <w:contextualSpacing w:val="1"/>
        <w:jc w:val="both"/>
        <w:rPr>
          <w:b w:val="1"/>
        </w:rPr>
      </w:pPr>
      <w:r>
        <w:rPr>
          <w:b w:val="1"/>
        </w:rPr>
        <w:t xml:space="preserve">Таблица </w:t>
      </w:r>
      <w:r>
        <w:rPr>
          <w:b w:val="1"/>
        </w:rPr>
        <w:t>10.2.</w:t>
      </w:r>
      <w:r>
        <w:rPr>
          <w:b w:val="1"/>
        </w:rPr>
        <w:t xml:space="preserve"> Морфологический состав твердых коммунальных отходов для жилищного фонда и предприятий</w:t>
      </w:r>
    </w:p>
    <w:tbl>
      <w:tblPr>
        <w:tblStyle w:val="Style_7"/>
        <w:tblInd w:type="dxa" w:w="40"/>
        <w:tblLayout w:type="fixed"/>
        <w:tblCellMar>
          <w:left w:type="dxa" w:w="40"/>
          <w:right w:type="dxa" w:w="40"/>
        </w:tblCellMar>
      </w:tblPr>
      <w:tblGrid>
        <w:gridCol w:w="878"/>
        <w:gridCol w:w="5359"/>
        <w:gridCol w:w="1701"/>
        <w:gridCol w:w="1701"/>
      </w:tblGrid>
      <w:tr>
        <w:trPr>
          <w:trHeight w:hRule="atLeast" w:val="323"/>
        </w:trPr>
        <w:tc>
          <w:tcPr>
            <w:tcW w:type="dxa" w:w="87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FC010000">
            <w:pPr>
              <w:ind w:hanging="40" w:left="40" w:right="-5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11"/>
                <w:sz w:val="20"/>
              </w:rPr>
              <w:t>№№ п/п</w:t>
            </w:r>
          </w:p>
        </w:tc>
        <w:tc>
          <w:tcPr>
            <w:tcW w:type="dxa" w:w="535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FD010000">
            <w:pPr>
              <w:ind w:firstLine="0" w:left="244" w:right="167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pacing w:val="-7"/>
                <w:sz w:val="20"/>
              </w:rPr>
              <w:t>Компонент</w:t>
            </w:r>
          </w:p>
        </w:tc>
        <w:tc>
          <w:tcPr>
            <w:tcW w:type="dxa" w:w="3402"/>
            <w:gridSpan w:val="2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FE010000">
            <w:pPr>
              <w:ind w:right="-52"/>
              <w:jc w:val="center"/>
              <w:rPr>
                <w:rFonts w:ascii="Times New Roman" w:hAnsi="Times New Roman"/>
                <w:spacing w:val="-1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Процентное содержание, % по массе</w:t>
            </w:r>
          </w:p>
        </w:tc>
      </w:tr>
      <w:tr>
        <w:trPr>
          <w:trHeight w:hRule="atLeast" w:val="272"/>
        </w:trPr>
        <w:tc>
          <w:tcPr>
            <w:tcW w:type="dxa" w:w="87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/>
        </w:tc>
        <w:tc>
          <w:tcPr>
            <w:tcW w:type="dxa" w:w="535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/>
        </w:tc>
        <w:tc>
          <w:tcPr>
            <w:tcW w:type="dxa" w:w="1701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FF010000">
            <w:pPr>
              <w:ind w:right="-52"/>
              <w:jc w:val="center"/>
              <w:rPr>
                <w:rFonts w:ascii="Times New Roman" w:hAnsi="Times New Roman"/>
                <w:spacing w:val="-1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жилищный фонд</w:t>
            </w:r>
          </w:p>
        </w:tc>
        <w:tc>
          <w:tcPr>
            <w:tcW w:type="dxa" w:w="1701"/>
            <w:tcBorders>
              <w:top w:color="000000" w:sz="4" w:val="single"/>
              <w:left w:color="000000" w:sz="4" w:val="single"/>
              <w:right w:color="000000" w:sz="4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0020000">
            <w:pPr>
              <w:ind w:right="-52"/>
              <w:jc w:val="center"/>
              <w:rPr>
                <w:rFonts w:ascii="Times New Roman" w:hAnsi="Times New Roman"/>
                <w:spacing w:val="-1"/>
                <w:sz w:val="20"/>
              </w:rPr>
            </w:pPr>
            <w:r>
              <w:rPr>
                <w:rFonts w:ascii="Times New Roman" w:hAnsi="Times New Roman"/>
                <w:spacing w:val="-1"/>
                <w:sz w:val="20"/>
              </w:rPr>
              <w:t>предприятия</w:t>
            </w:r>
          </w:p>
        </w:tc>
      </w:tr>
      <w:tr>
        <w:trPr>
          <w:trHeight w:hRule="exact" w:val="284"/>
        </w:trPr>
        <w:tc>
          <w:tcPr>
            <w:tcW w:type="dxa" w:w="878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1020000">
            <w:pPr>
              <w:ind w:hanging="40" w:left="40" w:right="-5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5359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2020000">
            <w:pPr>
              <w:ind w:firstLine="102" w:left="0" w:right="-5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6"/>
              </w:rPr>
              <w:t>Бумага, картон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70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3020000">
            <w:pPr>
              <w:ind w:firstLine="34" w:left="0" w:right="57"/>
              <w:jc w:val="right"/>
              <w:rPr>
                <w:rFonts w:ascii="Times New Roman" w:hAnsi="Times New Roman"/>
                <w:spacing w:val="-7"/>
              </w:rPr>
            </w:pPr>
            <w:r>
              <w:rPr>
                <w:rFonts w:ascii="Times New Roman" w:hAnsi="Times New Roman"/>
                <w:spacing w:val="-7"/>
              </w:rPr>
              <w:t>37-41</w:t>
            </w:r>
          </w:p>
        </w:tc>
        <w:tc>
          <w:tcPr>
            <w:tcW w:type="dxa" w:w="1701"/>
            <w:tcBorders>
              <w:top w:color="000000" w:sz="4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4020000">
            <w:pPr>
              <w:ind w:firstLine="34" w:left="0" w:right="57"/>
              <w:jc w:val="right"/>
              <w:rPr>
                <w:rFonts w:ascii="Times New Roman" w:hAnsi="Times New Roman"/>
                <w:spacing w:val="-7"/>
              </w:rPr>
            </w:pPr>
            <w:r>
              <w:rPr>
                <w:rFonts w:ascii="Times New Roman" w:hAnsi="Times New Roman"/>
                <w:spacing w:val="-7"/>
              </w:rPr>
              <w:t>45-52</w:t>
            </w:r>
          </w:p>
        </w:tc>
      </w:tr>
      <w:tr>
        <w:trPr>
          <w:trHeight w:hRule="exact" w:val="284"/>
        </w:trPr>
        <w:tc>
          <w:tcPr>
            <w:tcW w:type="dxa" w:w="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5020000">
            <w:pPr>
              <w:ind w:hanging="40" w:left="40" w:right="-5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5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6020000">
            <w:pPr>
              <w:ind w:firstLine="102" w:left="0" w:right="-5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7"/>
              </w:rPr>
              <w:t>Пищевые отходы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7020000">
            <w:pPr>
              <w:ind w:firstLine="34" w:left="0" w:right="57"/>
              <w:jc w:val="right"/>
              <w:rPr>
                <w:rFonts w:ascii="Times New Roman" w:hAnsi="Times New Roman"/>
                <w:spacing w:val="-7"/>
              </w:rPr>
            </w:pPr>
            <w:r>
              <w:rPr>
                <w:rFonts w:ascii="Times New Roman" w:hAnsi="Times New Roman"/>
                <w:spacing w:val="-7"/>
              </w:rPr>
              <w:t>27-37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8020000">
            <w:pPr>
              <w:ind w:firstLine="34" w:left="0" w:right="57"/>
              <w:jc w:val="right"/>
              <w:rPr>
                <w:rFonts w:ascii="Times New Roman" w:hAnsi="Times New Roman"/>
                <w:spacing w:val="-7"/>
              </w:rPr>
            </w:pPr>
            <w:r>
              <w:rPr>
                <w:rFonts w:ascii="Times New Roman" w:hAnsi="Times New Roman"/>
                <w:spacing w:val="-7"/>
              </w:rPr>
              <w:t>13-16</w:t>
            </w:r>
          </w:p>
        </w:tc>
      </w:tr>
      <w:tr>
        <w:trPr>
          <w:trHeight w:hRule="exact" w:val="284"/>
        </w:trPr>
        <w:tc>
          <w:tcPr>
            <w:tcW w:type="dxa" w:w="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9020000">
            <w:pPr>
              <w:ind w:hanging="40" w:left="40" w:right="-5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5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A020000">
            <w:pPr>
              <w:ind w:firstLine="102" w:left="0" w:right="-5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9"/>
              </w:rPr>
              <w:t>Дерево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B020000">
            <w:pPr>
              <w:ind w:firstLine="34" w:left="0" w:right="57"/>
              <w:jc w:val="right"/>
              <w:rPr>
                <w:rFonts w:ascii="Times New Roman" w:hAnsi="Times New Roman"/>
                <w:spacing w:val="-7"/>
              </w:rPr>
            </w:pPr>
            <w:r>
              <w:rPr>
                <w:rFonts w:ascii="Times New Roman" w:hAnsi="Times New Roman"/>
                <w:spacing w:val="-7"/>
              </w:rPr>
              <w:t>1-2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0C020000">
            <w:pPr>
              <w:ind w:firstLine="34" w:left="0" w:right="57"/>
              <w:jc w:val="right"/>
              <w:rPr>
                <w:rFonts w:ascii="Times New Roman" w:hAnsi="Times New Roman"/>
                <w:spacing w:val="-7"/>
              </w:rPr>
            </w:pPr>
            <w:r>
              <w:rPr>
                <w:rFonts w:ascii="Times New Roman" w:hAnsi="Times New Roman"/>
                <w:spacing w:val="-7"/>
              </w:rPr>
              <w:t>3-5</w:t>
            </w:r>
          </w:p>
        </w:tc>
      </w:tr>
      <w:tr>
        <w:trPr>
          <w:trHeight w:hRule="exact" w:val="284"/>
        </w:trPr>
        <w:tc>
          <w:tcPr>
            <w:tcW w:type="dxa" w:w="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D020000">
            <w:pPr>
              <w:ind w:hanging="40" w:left="40" w:right="-5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5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E020000">
            <w:pPr>
              <w:ind w:firstLine="102" w:left="0" w:right="-5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Черный металлолом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0F020000">
            <w:pPr>
              <w:ind w:firstLine="34" w:left="0" w:right="57"/>
              <w:jc w:val="right"/>
              <w:rPr>
                <w:rFonts w:ascii="Times New Roman" w:hAnsi="Times New Roman"/>
                <w:spacing w:val="-7"/>
              </w:rPr>
            </w:pPr>
            <w:r>
              <w:rPr>
                <w:rFonts w:ascii="Times New Roman" w:hAnsi="Times New Roman"/>
                <w:spacing w:val="-7"/>
              </w:rPr>
              <w:t>3-4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0020000">
            <w:pPr>
              <w:ind w:firstLine="34" w:left="0" w:right="57"/>
              <w:jc w:val="right"/>
              <w:rPr>
                <w:rFonts w:ascii="Times New Roman" w:hAnsi="Times New Roman"/>
                <w:spacing w:val="-7"/>
              </w:rPr>
            </w:pPr>
            <w:r>
              <w:rPr>
                <w:rFonts w:ascii="Times New Roman" w:hAnsi="Times New Roman"/>
                <w:spacing w:val="-7"/>
              </w:rPr>
              <w:t>3-4</w:t>
            </w:r>
          </w:p>
        </w:tc>
      </w:tr>
      <w:tr>
        <w:trPr>
          <w:trHeight w:hRule="exact" w:val="284"/>
        </w:trPr>
        <w:tc>
          <w:tcPr>
            <w:tcW w:type="dxa" w:w="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1020000">
            <w:pPr>
              <w:ind w:hanging="40" w:left="40" w:right="-5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5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2020000">
            <w:pPr>
              <w:ind w:firstLine="102" w:left="0" w:right="-5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Цветной металло</w:t>
            </w:r>
            <w:r>
              <w:rPr>
                <w:rFonts w:ascii="Times New Roman" w:hAnsi="Times New Roman"/>
              </w:rPr>
              <w:t>лом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3020000">
            <w:pPr>
              <w:ind w:firstLine="34" w:left="0" w:right="57"/>
              <w:jc w:val="right"/>
              <w:rPr>
                <w:rFonts w:ascii="Times New Roman" w:hAnsi="Times New Roman"/>
                <w:spacing w:val="-7"/>
              </w:rPr>
            </w:pPr>
            <w:r>
              <w:rPr>
                <w:rFonts w:ascii="Times New Roman" w:hAnsi="Times New Roman"/>
                <w:spacing w:val="-7"/>
              </w:rPr>
              <w:t>1-2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4020000">
            <w:pPr>
              <w:ind w:firstLine="34" w:left="0" w:right="57"/>
              <w:jc w:val="right"/>
              <w:rPr>
                <w:rFonts w:ascii="Times New Roman" w:hAnsi="Times New Roman"/>
                <w:spacing w:val="-7"/>
              </w:rPr>
            </w:pPr>
            <w:r>
              <w:rPr>
                <w:rFonts w:ascii="Times New Roman" w:hAnsi="Times New Roman"/>
                <w:spacing w:val="-7"/>
              </w:rPr>
              <w:t>1-4</w:t>
            </w:r>
          </w:p>
        </w:tc>
      </w:tr>
      <w:tr>
        <w:trPr>
          <w:trHeight w:hRule="exact" w:val="284"/>
        </w:trPr>
        <w:tc>
          <w:tcPr>
            <w:tcW w:type="dxa" w:w="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5020000">
            <w:pPr>
              <w:ind w:hanging="40" w:left="40" w:right="-5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type="dxa" w:w="5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6020000">
            <w:pPr>
              <w:ind w:firstLine="102" w:left="0" w:right="-5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2"/>
              </w:rPr>
              <w:t>Текстиль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7020000">
            <w:pPr>
              <w:ind w:firstLine="34" w:left="0" w:right="57"/>
              <w:jc w:val="right"/>
              <w:rPr>
                <w:rFonts w:ascii="Times New Roman" w:hAnsi="Times New Roman"/>
                <w:spacing w:val="-7"/>
              </w:rPr>
            </w:pPr>
            <w:r>
              <w:rPr>
                <w:rFonts w:ascii="Times New Roman" w:hAnsi="Times New Roman"/>
                <w:spacing w:val="-7"/>
              </w:rPr>
              <w:t>3-5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8020000">
            <w:pPr>
              <w:ind w:firstLine="34" w:left="0" w:right="57"/>
              <w:jc w:val="right"/>
              <w:rPr>
                <w:rFonts w:ascii="Times New Roman" w:hAnsi="Times New Roman"/>
                <w:spacing w:val="-7"/>
              </w:rPr>
            </w:pPr>
            <w:r>
              <w:rPr>
                <w:rFonts w:ascii="Times New Roman" w:hAnsi="Times New Roman"/>
                <w:spacing w:val="-7"/>
              </w:rPr>
              <w:t>3-5</w:t>
            </w:r>
          </w:p>
        </w:tc>
      </w:tr>
      <w:tr>
        <w:trPr>
          <w:trHeight w:hRule="exact" w:val="284"/>
        </w:trPr>
        <w:tc>
          <w:tcPr>
            <w:tcW w:type="dxa" w:w="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9020000">
            <w:pPr>
              <w:ind w:hanging="40" w:left="40" w:right="-5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type="dxa" w:w="5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A020000">
            <w:pPr>
              <w:ind w:firstLine="102" w:left="0" w:right="-5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8"/>
              </w:rPr>
              <w:t>Пластмасса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B020000">
            <w:pPr>
              <w:ind w:firstLine="34" w:left="0" w:right="57"/>
              <w:jc w:val="right"/>
              <w:rPr>
                <w:rFonts w:ascii="Times New Roman" w:hAnsi="Times New Roman"/>
                <w:spacing w:val="-7"/>
              </w:rPr>
            </w:pPr>
            <w:r>
              <w:rPr>
                <w:rFonts w:ascii="Times New Roman" w:hAnsi="Times New Roman"/>
                <w:spacing w:val="-7"/>
              </w:rPr>
              <w:t>5-6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1C020000">
            <w:pPr>
              <w:ind w:firstLine="34" w:left="0" w:right="57"/>
              <w:jc w:val="right"/>
              <w:rPr>
                <w:rFonts w:ascii="Times New Roman" w:hAnsi="Times New Roman"/>
                <w:spacing w:val="-7"/>
              </w:rPr>
            </w:pPr>
            <w:r>
              <w:rPr>
                <w:rFonts w:ascii="Times New Roman" w:hAnsi="Times New Roman"/>
                <w:spacing w:val="-7"/>
              </w:rPr>
              <w:t>8-12</w:t>
            </w:r>
          </w:p>
        </w:tc>
      </w:tr>
      <w:tr>
        <w:trPr>
          <w:trHeight w:hRule="exact" w:val="284"/>
        </w:trPr>
        <w:tc>
          <w:tcPr>
            <w:tcW w:type="dxa" w:w="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D020000">
            <w:pPr>
              <w:ind w:hanging="40" w:left="40" w:right="-5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type="dxa" w:w="5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E020000">
            <w:pPr>
              <w:ind w:firstLine="102" w:left="0" w:right="-5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0"/>
              </w:rPr>
              <w:t>Стекло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1F020000">
            <w:pPr>
              <w:ind w:firstLine="34" w:left="0" w:right="57"/>
              <w:jc w:val="right"/>
              <w:rPr>
                <w:rFonts w:ascii="Times New Roman" w:hAnsi="Times New Roman"/>
                <w:spacing w:val="-7"/>
              </w:rPr>
            </w:pPr>
            <w:r>
              <w:rPr>
                <w:rFonts w:ascii="Times New Roman" w:hAnsi="Times New Roman"/>
                <w:spacing w:val="-7"/>
              </w:rPr>
              <w:t>2-3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0020000">
            <w:pPr>
              <w:ind w:firstLine="34" w:left="0" w:right="57"/>
              <w:jc w:val="right"/>
              <w:rPr>
                <w:rFonts w:ascii="Times New Roman" w:hAnsi="Times New Roman"/>
                <w:spacing w:val="-7"/>
              </w:rPr>
            </w:pPr>
            <w:r>
              <w:rPr>
                <w:rFonts w:ascii="Times New Roman" w:hAnsi="Times New Roman"/>
                <w:spacing w:val="-7"/>
              </w:rPr>
              <w:t>1-2</w:t>
            </w:r>
          </w:p>
        </w:tc>
      </w:tr>
      <w:tr>
        <w:trPr>
          <w:trHeight w:hRule="exact" w:val="284"/>
        </w:trPr>
        <w:tc>
          <w:tcPr>
            <w:tcW w:type="dxa" w:w="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1020000">
            <w:pPr>
              <w:ind w:hanging="40" w:left="40" w:right="-5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type="dxa" w:w="5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2020000">
            <w:pPr>
              <w:ind w:firstLine="102" w:left="0" w:right="-5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Кости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3020000">
            <w:pPr>
              <w:ind w:firstLine="34" w:left="0" w:right="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4020000">
            <w:pPr>
              <w:ind w:firstLine="34" w:left="0" w:right="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</w:tr>
      <w:tr>
        <w:trPr>
          <w:trHeight w:hRule="exact" w:val="284"/>
        </w:trPr>
        <w:tc>
          <w:tcPr>
            <w:tcW w:type="dxa" w:w="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5020000">
            <w:pPr>
              <w:ind w:hanging="40" w:left="40" w:right="-5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5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6020000">
            <w:pPr>
              <w:ind w:firstLine="102" w:left="0" w:right="-5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Кожа, резина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7020000">
            <w:pPr>
              <w:ind w:firstLine="34" w:left="0" w:right="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0,5-1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8020000">
            <w:pPr>
              <w:ind w:firstLine="34" w:left="0" w:right="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</w:tr>
      <w:tr>
        <w:trPr>
          <w:trHeight w:hRule="exact" w:val="284"/>
        </w:trPr>
        <w:tc>
          <w:tcPr>
            <w:tcW w:type="dxa" w:w="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9020000">
            <w:pPr>
              <w:ind w:hanging="40" w:left="40" w:right="-5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5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A020000">
            <w:pPr>
              <w:ind w:firstLine="102" w:left="0" w:right="-5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Камни, штукатурка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B020000">
            <w:pPr>
              <w:ind w:firstLine="34" w:left="0" w:right="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0,5-1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2C020000">
            <w:pPr>
              <w:ind w:firstLine="34" w:left="0" w:right="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</w:tr>
      <w:tr>
        <w:trPr>
          <w:trHeight w:hRule="exact" w:val="339"/>
        </w:trPr>
        <w:tc>
          <w:tcPr>
            <w:tcW w:type="dxa" w:w="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D020000">
            <w:pPr>
              <w:ind w:hanging="40" w:left="40" w:right="-5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5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E020000">
            <w:pPr>
              <w:ind w:firstLine="0" w:left="75" w:right="-5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Прочее 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2F020000">
            <w:pPr>
              <w:ind w:firstLine="34" w:left="0" w:right="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0020000">
            <w:pPr>
              <w:ind w:firstLine="34" w:left="0" w:right="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</w:tr>
      <w:tr>
        <w:trPr>
          <w:trHeight w:hRule="exact" w:val="284"/>
        </w:trPr>
        <w:tc>
          <w:tcPr>
            <w:tcW w:type="dxa" w:w="8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1020000">
            <w:pPr>
              <w:ind w:hanging="40" w:left="40" w:right="-5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type="dxa" w:w="53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2020000">
            <w:pPr>
              <w:ind w:firstLine="102" w:left="0" w:right="-5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Отсев (менее 15 мм)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  <w:vAlign w:val="center"/>
          </w:tcPr>
          <w:p w14:paraId="33020000">
            <w:pPr>
              <w:ind w:firstLine="34" w:left="0" w:right="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5-7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FFFFFF" w:val="clear"/>
            <w:tcMar>
              <w:left w:type="dxa" w:w="40"/>
              <w:right w:type="dxa" w:w="40"/>
            </w:tcMar>
          </w:tcPr>
          <w:p w14:paraId="34020000">
            <w:pPr>
              <w:ind w:firstLine="34" w:left="0" w:right="5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5-7</w:t>
            </w:r>
          </w:p>
        </w:tc>
      </w:tr>
    </w:tbl>
    <w:p w14:paraId="35020000">
      <w:pPr>
        <w:ind w:firstLine="539" w:left="0"/>
        <w:jc w:val="both"/>
        <w:rPr>
          <w:rFonts w:ascii="Times New Roman" w:hAnsi="Times New Roman"/>
          <w:sz w:val="28"/>
        </w:rPr>
      </w:pPr>
    </w:p>
    <w:p w14:paraId="36020000">
      <w:pPr>
        <w:spacing w:after="0"/>
        <w:ind w:firstLine="53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Наиболее отличительные показатели имеют компоненты: бумага, картон и пищевые отходы. На предприятиях доля бумаги и картона в общем объеме образования коммунальных отходов заметно выше, чем в жилищном фонде, так как на предприятиях бумага и картон, как правило, используются в </w:t>
      </w:r>
      <w:r>
        <w:rPr>
          <w:rFonts w:ascii="Times New Roman" w:hAnsi="Times New Roman"/>
          <w:sz w:val="28"/>
        </w:rPr>
        <w:t xml:space="preserve">качестве упаковочных материалов в широком ассортименте (продукты питания, канцелярские товары и т.д.). На предприятиях доля пищевых отходов в общем объеме образования коммунальных отходов заметно ниже, чем в жилищном фонде, так как на предприятиях, как правило, сотрудники пользуются услугами предприятий общественного питания. </w:t>
      </w:r>
    </w:p>
    <w:p w14:paraId="37020000">
      <w:pPr>
        <w:spacing w:after="0"/>
        <w:ind w:firstLine="539" w:left="0"/>
        <w:jc w:val="both"/>
        <w:rPr>
          <w:sz w:val="28"/>
        </w:rPr>
      </w:pPr>
      <w:r>
        <w:rPr>
          <w:sz w:val="28"/>
        </w:rPr>
        <w:t>Необходимо на уровне региона вести политику стимулирования раздельного сбора отходов производства и потребления.</w:t>
      </w:r>
    </w:p>
    <w:p w14:paraId="38020000">
      <w:pPr>
        <w:pStyle w:val="Style_13"/>
        <w:spacing w:after="0" w:before="0" w:line="276" w:lineRule="auto"/>
        <w:ind w:firstLine="709" w:left="0"/>
        <w:contextualSpacing w:val="1"/>
        <w:jc w:val="both"/>
        <w:rPr>
          <w:sz w:val="28"/>
        </w:rPr>
      </w:pPr>
      <w:r>
        <w:rPr>
          <w:sz w:val="28"/>
        </w:rPr>
        <w:t>В разрезе ТКО необходимо начинать с объектов общественного назначения. Объекты общественного назначения могут в пределах своего предприятия организовывать селективный сбор отходов, в этом случае:</w:t>
      </w:r>
    </w:p>
    <w:p w14:paraId="39020000">
      <w:pPr>
        <w:pStyle w:val="Style_13"/>
        <w:numPr>
          <w:ilvl w:val="0"/>
          <w:numId w:val="6"/>
        </w:numPr>
        <w:spacing w:after="420" w:before="0" w:line="276" w:lineRule="auto"/>
        <w:ind/>
        <w:contextualSpacing w:val="1"/>
        <w:jc w:val="both"/>
      </w:pPr>
      <w:r>
        <w:rPr>
          <w:sz w:val="28"/>
        </w:rPr>
        <w:t>Необходимо не применять к таким предприятиям нормативы накопления, действующие в регионе, при условии строгой отчетности со стороны предприятия о количестве собранного и переданного на утилизацию вторичного сырья;</w:t>
      </w:r>
    </w:p>
    <w:p w14:paraId="3A020000">
      <w:pPr>
        <w:pStyle w:val="Style_13"/>
        <w:numPr>
          <w:ilvl w:val="0"/>
          <w:numId w:val="6"/>
        </w:numPr>
        <w:spacing w:after="420" w:before="0" w:line="276" w:lineRule="auto"/>
        <w:ind/>
        <w:contextualSpacing w:val="1"/>
        <w:jc w:val="both"/>
        <w:rPr>
          <w:b w:val="1"/>
          <w:sz w:val="28"/>
        </w:rPr>
      </w:pPr>
      <w:r>
        <w:rPr>
          <w:sz w:val="28"/>
        </w:rPr>
        <w:t xml:space="preserve">Оказывать содействие объектам общественного назначения в сбыте собранного вторичного сырья. </w:t>
      </w:r>
    </w:p>
    <w:p w14:paraId="3B020000">
      <w:bookmarkStart w:id="10" w:name="__RefHeading___8"/>
      <w:bookmarkEnd w:id="10"/>
      <w:pPr>
        <w:spacing w:after="0"/>
        <w:ind w:firstLine="709" w:left="0"/>
        <w:contextualSpacing w:val="1"/>
        <w:jc w:val="both"/>
        <w:outlineLvl w:val="2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10.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b w:val="1"/>
          <w:sz w:val="28"/>
        </w:rPr>
        <w:t>.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>. Решение проблем Крупногабаритных отходов, как части твердых коммунальных отходов</w:t>
      </w:r>
    </w:p>
    <w:p w14:paraId="3C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«</w:t>
      </w:r>
      <w:r>
        <w:rPr>
          <w:rFonts w:ascii="Times New Roman" w:hAnsi="Times New Roman"/>
          <w:i w:val="1"/>
          <w:sz w:val="28"/>
        </w:rPr>
        <w:t>Крупногабаритные отходы</w:t>
      </w:r>
      <w:r>
        <w:rPr>
          <w:rFonts w:ascii="Times New Roman" w:hAnsi="Times New Roman"/>
          <w:i w:val="1"/>
          <w:sz w:val="28"/>
        </w:rPr>
        <w:t>»</w:t>
      </w:r>
      <w:r>
        <w:rPr>
          <w:rFonts w:ascii="Times New Roman" w:hAnsi="Times New Roman"/>
          <w:i w:val="1"/>
          <w:sz w:val="28"/>
        </w:rPr>
        <w:t xml:space="preserve"> - твердые коммунальные отходы (мебель, бытовая техника, и др.), размер которых не позволяет осуществить их складирование в контейнерах</w:t>
      </w:r>
      <w:r>
        <w:rPr>
          <w:rFonts w:ascii="Times New Roman" w:hAnsi="Times New Roman"/>
          <w:i w:val="1"/>
          <w:sz w:val="28"/>
        </w:rPr>
        <w:t>»</w:t>
      </w:r>
      <w:r>
        <w:rPr>
          <w:rFonts w:ascii="Times New Roman" w:hAnsi="Times New Roman"/>
          <w:i w:val="1"/>
          <w:sz w:val="28"/>
        </w:rPr>
        <w:t xml:space="preserve"> - </w: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instrText>HYPERLINK "http://www.waste.ru/modules/documents/item.php?itemid=240"</w:instrTex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t xml:space="preserve">Постановление Правительства РФ от 12.11.2016 № 1156 </w: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t>«</w: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t>Об обращении с твердыми коммунальными отходами и внесении изменения в постановление Правительства Российской Федерации от 25 августа 2008 г. № 641</w: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fldChar w:fldCharType="end"/>
      </w:r>
      <w:r>
        <w:t>»</w:t>
      </w:r>
    </w:p>
    <w:p w14:paraId="3D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>«</w:t>
      </w:r>
      <w:r>
        <w:rPr>
          <w:rFonts w:ascii="Times New Roman" w:hAnsi="Times New Roman"/>
          <w:i w:val="1"/>
          <w:sz w:val="28"/>
        </w:rPr>
        <w:t>Крупногабаритные отходы (КГО): Отходы производства и потребления, являющиеся предметами, утратившими свои потребительские свойства (мебель, бытовая техника, велосипеды и другие крупные предметы), размеры которых превышают 0,5 м</w:t>
      </w:r>
      <w:r>
        <w:rPr>
          <w:rFonts w:ascii="Times New Roman" w:hAnsi="Times New Roman"/>
          <w:i w:val="1"/>
          <w:sz w:val="28"/>
        </w:rPr>
        <w:t>етра в высоту, ширину или длину</w:t>
      </w:r>
      <w:r>
        <w:rPr>
          <w:rFonts w:ascii="Times New Roman" w:hAnsi="Times New Roman"/>
          <w:i w:val="1"/>
          <w:sz w:val="28"/>
        </w:rPr>
        <w:t>»</w:t>
      </w:r>
      <w:r>
        <w:rPr>
          <w:rFonts w:ascii="Times New Roman" w:hAnsi="Times New Roman"/>
          <w:i w:val="1"/>
          <w:sz w:val="28"/>
        </w:rPr>
        <w:t xml:space="preserve"> - </w:t>
      </w:r>
      <w:r>
        <w:rPr>
          <w:rFonts w:ascii="Times New Roman" w:hAnsi="Times New Roman"/>
          <w:sz w:val="28"/>
        </w:rPr>
        <w:t xml:space="preserve">ГОСТ Р 56195-2014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Национальный стандарт Российской Федерации. Услуги жилищно-коммунального хозяйства и управления многоквартирными домами. Услуги содержания придомовой территории, сбор и вывоз бытовых отходов.</w:t>
      </w:r>
      <w:r>
        <w:rPr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Общие</w:t>
      </w:r>
      <w:r>
        <w:rPr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  <w:highlight w:val="white"/>
        </w:rPr>
        <w:t>требования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3E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Постановлении четко прописано в определении, что крупногабаритные отходы - твердые коммунальные отходы...</w:t>
      </w:r>
    </w:p>
    <w:p w14:paraId="3F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Всё, что входит в современный термин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крупногабаритные отходы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согласно </w: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instrText>HYPERLINK "http://www.waste.ru/modules/documents/item.php?itemid=240"</w:instrTex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t xml:space="preserve">Постановлению Правительства РФ от 12.11.2016 № 1156 «Об обращении с твердыми коммунальными отходами и внесении изменения в постановление Правительства Российской Федерации от 25 августа 2008 г. № </w: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t>641</w: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fldChar w:fldCharType="end"/>
      </w:r>
      <w:r>
        <w:t xml:space="preserve">» </w:t>
      </w:r>
      <w:r>
        <w:rPr>
          <w:rFonts w:ascii="Times New Roman" w:hAnsi="Times New Roman"/>
          <w:sz w:val="28"/>
        </w:rPr>
        <w:t xml:space="preserve">причисляется к твердым коммунальным отходам. В Федеральном классификационном каталоге отходов такие отходы имеют код 73111002215 и входят в группу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Отходы коммунальные твердые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, им  присвоен </w:t>
      </w:r>
      <w:r>
        <w:rPr>
          <w:rFonts w:ascii="Times New Roman" w:hAnsi="Times New Roman"/>
          <w:sz w:val="28"/>
        </w:rPr>
        <w:t>V</w:t>
      </w:r>
      <w:r>
        <w:rPr>
          <w:rFonts w:ascii="Times New Roman" w:hAnsi="Times New Roman"/>
          <w:sz w:val="28"/>
        </w:rPr>
        <w:t xml:space="preserve"> класс опасности.</w:t>
      </w:r>
    </w:p>
    <w:p w14:paraId="40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Это означает, что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 вывоз (сбор и транспортирование) крупногабаритных отходов не требуется лицензия</w:t>
      </w:r>
      <w:r>
        <w:rPr>
          <w:rFonts w:ascii="Times New Roman" w:hAnsi="Times New Roman"/>
          <w:sz w:val="28"/>
        </w:rPr>
        <w:t>.</w:t>
      </w:r>
    </w:p>
    <w:p w14:paraId="41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другой стороны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Правила обращения с твердыми коммунальными отходами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(утв. </w: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instrText>HYPERLINK "http://www.waste.ru/modules/documents/item.php?itemid=240"</w:instrTex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t>Постановлением Правительства РФ от 12.11.2016 № 1156 «Об обращении с твердыми коммунальными отходами и внесении изменения в постановление Правительства Российской Федерации от 25 августа 2008 г. № 641</w: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fldChar w:fldCharType="end"/>
      </w:r>
      <w:r>
        <w:t>»</w:t>
      </w:r>
      <w:r>
        <w:rPr>
          <w:rFonts w:ascii="Times New Roman" w:hAnsi="Times New Roman"/>
          <w:sz w:val="28"/>
        </w:rPr>
        <w:t>) устанавливают, что:</w:t>
      </w:r>
    </w:p>
    <w:p w14:paraId="42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i w:val="1"/>
          <w:sz w:val="28"/>
        </w:rPr>
        <w:t xml:space="preserve">         </w:t>
      </w:r>
      <w:r>
        <w:rPr>
          <w:rFonts w:ascii="Times New Roman" w:hAnsi="Times New Roman"/>
          <w:i w:val="1"/>
          <w:sz w:val="28"/>
        </w:rPr>
        <w:t>«</w:t>
      </w:r>
      <w:r>
        <w:rPr>
          <w:rFonts w:ascii="Times New Roman" w:hAnsi="Times New Roman"/>
          <w:i w:val="1"/>
          <w:sz w:val="28"/>
        </w:rPr>
        <w:t>Вывоз крупногабаритных отходов обеспечивается в соответствии с законодательством Российской Федерации</w:t>
      </w:r>
      <w:r>
        <w:rPr>
          <w:rFonts w:ascii="Times New Roman" w:hAnsi="Times New Roman"/>
          <w:i w:val="1"/>
          <w:sz w:val="28"/>
        </w:rPr>
        <w:t> </w:t>
      </w:r>
      <w:r>
        <w:rPr>
          <w:rFonts w:ascii="Times New Roman" w:hAnsi="Times New Roman"/>
          <w:b w:val="1"/>
          <w:i w:val="1"/>
          <w:sz w:val="28"/>
        </w:rPr>
        <w:t>региональным оператором</w:t>
      </w:r>
      <w:r>
        <w:rPr>
          <w:rFonts w:ascii="Times New Roman" w:hAnsi="Times New Roman"/>
          <w:i w:val="1"/>
          <w:sz w:val="28"/>
        </w:rPr>
        <w:t>, в том числе по заявкам потребителей, либо самостоятельно потребителями путем доставки крупногабаритных отходов н</w:t>
      </w:r>
      <w:r>
        <w:rPr>
          <w:rFonts w:ascii="Times New Roman" w:hAnsi="Times New Roman"/>
          <w:i w:val="1"/>
          <w:sz w:val="28"/>
        </w:rPr>
        <w:t>а площадку для их складирования</w:t>
      </w:r>
      <w:r>
        <w:rPr>
          <w:rFonts w:ascii="Times New Roman" w:hAnsi="Times New Roman"/>
          <w:i w:val="1"/>
          <w:sz w:val="28"/>
        </w:rPr>
        <w:t>»</w:t>
      </w:r>
    </w:p>
    <w:p w14:paraId="43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крупногабаритным отходам не относится строительный мусор, кроме отходов от текущего ремонта жилых помещений.</w:t>
      </w:r>
    </w:p>
    <w:p w14:paraId="44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Согласно того же Постановления крупногабаритные отходы складируются одним из следующих способов:</w:t>
      </w:r>
    </w:p>
    <w:p w14:paraId="45020000">
      <w:pPr>
        <w:numPr>
          <w:ilvl w:val="0"/>
          <w:numId w:val="7"/>
        </w:num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бункеры, расположенные на контейнерных площадках;</w:t>
      </w:r>
    </w:p>
    <w:p w14:paraId="46020000">
      <w:pPr>
        <w:numPr>
          <w:ilvl w:val="0"/>
          <w:numId w:val="7"/>
        </w:num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специальных площадках для складирования крупногабаритных отходов.</w:t>
      </w:r>
    </w:p>
    <w:p w14:paraId="47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юридической точки зрения, если применяется термин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твердые коммунальные отходы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то также сюда входят и крупногабаритные отходы из соответствующих источников (жилища и мелкие предприятия и организации). Следовательно, тариф на вывоз твердых коммунальных отходов должен учитывать также и вывоз крупногабаритного мусора. Однако в виду того, что сбор крупногабаритных бытовых отходов осуществляется в отдельные бункеры и специальными мусоровозами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бункеровозами, то тариф пересчитывается применительно к этой системе сбора.</w:t>
      </w:r>
      <w:r>
        <w:rPr>
          <w:rFonts w:ascii="Times New Roman" w:hAnsi="Times New Roman"/>
          <w:sz w:val="28"/>
        </w:rPr>
        <w:t> </w:t>
      </w:r>
    </w:p>
    <w:p w14:paraId="48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Установление отдельного тарифа на вывоз КГО законом не предусмотрено.</w:t>
      </w:r>
    </w:p>
    <w:p w14:paraId="49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Помимо вышеназванных Постановлений Правительства требования к подобным услугам установлены в </w: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instrText>HYPERLINK "http://www.waste.ru/modules/documents/item.php?itemid=282"</w:instrTex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t xml:space="preserve">ГОСТ Р 56195-2014 </w: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t>«</w: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t>Услуги жилищно-коммунального хозяйства и управления многоквартирными домами. Услуги содержания придомовой территории, сбора и вывоза бытовых отходов. Общие требования</w: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t>»</w:t>
      </w:r>
      <w:r>
        <w:rPr>
          <w:rStyle w:val="Style_14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>.</w:t>
      </w:r>
    </w:p>
    <w:p w14:paraId="4A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Сбор и временное хранение крупногабаритных отходов осуществляется в бункерах-накопителях.</w:t>
      </w:r>
    </w:p>
    <w:p w14:paraId="4B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Учет регламентируется Постановлением Правительства РФ от 03.06.2016 № 505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Об утверждении Правил коммерческого учета объема и (или) массы твердых коммунальных отходов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 Отходы учитываются в местах сбора, при транспортировке и размещении. Такой учет обязан вести региональный оператор по обращению с твердыми коммунальными отходами. Отчитываться он должен перед органом исполнительной власти субъекта Российской Федерации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 которым заключен контракт.</w:t>
      </w:r>
    </w:p>
    <w:p w14:paraId="4C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местах накопления отходы учитываются расчетным путем, по нормативам или количеству контейнеров и бункеров.</w:t>
      </w:r>
    </w:p>
    <w:p w14:paraId="4D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объектах обработки и размещения крупногабаритных отходов должны быть установлены средства весового контроля. Причем, в случае отсутствия средств контроля или их неисправности свыше 30 дней учитываемый объем отходов уменьшается вдвое от расчетного. Таким образом введен экономический стимул для установки и поддержания в исправности весового оборудования. </w:t>
      </w:r>
    </w:p>
    <w:p w14:paraId="4E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данном Постановления не указан требуемый класс точности весового оборудования, что фактически означает, что класс точности является предметом согласования комиссии по допуску средства измерения к эксплуатации.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крупногабаритных отходах присутствуют годные или требующие небольшого ремонта изделия (мебель, компьютеры). Древесные остатки могут использоваться как топливо.</w:t>
      </w:r>
    </w:p>
    <w:p w14:paraId="4F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сортировки крупногабаритные отходы измельчаются. Измельчение крупногабаритных отходов  преследует две цели: сокращение объема для эффективной транспортировки и подготовка отходов к последующей механизированной сортировке.</w:t>
      </w:r>
    </w:p>
    <w:p w14:paraId="50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Измельчение крупногабаритного мусора сокращает его объем до 5 раз. Измельченные отходы также сокращают затраты на захоронение.</w:t>
      </w:r>
    </w:p>
    <w:p w14:paraId="51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8"/>
        </w:rPr>
        <w:t>Также, измельчение является первым шагом при производстве вторичного топлива из крупногабаритных горючих отходов. После измельчение такие отходы проходят механическую сортировку. Отделяются металлы, камни и пыль. Более тщательная сортировка тут не требуется, т.к. главная задача - сократить количество негорючих примесей.</w:t>
      </w:r>
    </w:p>
    <w:p w14:paraId="52020000">
      <w:p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Правила обращения с КГО подробно изложены в Письме Министерства строительства и жилищно-коммунального хозяйства Российской Федерации от 22</w:t>
      </w:r>
      <w:r>
        <w:rPr>
          <w:rFonts w:ascii="Times New Roman" w:hAnsi="Times New Roman"/>
          <w:sz w:val="28"/>
        </w:rPr>
        <w:t>.02.</w:t>
      </w:r>
      <w:r>
        <w:rPr>
          <w:rFonts w:ascii="Times New Roman" w:hAnsi="Times New Roman"/>
          <w:sz w:val="28"/>
        </w:rPr>
        <w:t xml:space="preserve">2017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5554-АТ/04.</w:t>
      </w:r>
    </w:p>
    <w:p w14:paraId="53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Вместе с тем </w:t>
      </w:r>
      <w:r>
        <w:rPr>
          <w:rFonts w:ascii="Times New Roman" w:hAnsi="Times New Roman"/>
          <w:sz w:val="28"/>
        </w:rPr>
        <w:t>данные</w:t>
      </w:r>
      <w:r>
        <w:rPr>
          <w:rFonts w:ascii="Times New Roman" w:hAnsi="Times New Roman"/>
          <w:sz w:val="28"/>
        </w:rPr>
        <w:t xml:space="preserve"> услуги могут быть выделены в квитанции в отдельную строку. Обращаем внимание</w:t>
      </w:r>
      <w:r>
        <w:rPr>
          <w:rFonts w:ascii="Times New Roman" w:hAnsi="Times New Roman"/>
          <w:sz w:val="28"/>
        </w:rPr>
        <w:t xml:space="preserve">, что Федеральным законом от </w:t>
      </w:r>
      <w:r>
        <w:rPr>
          <w:rFonts w:ascii="Times New Roman" w:hAnsi="Times New Roman"/>
          <w:sz w:val="28"/>
        </w:rPr>
        <w:t>29.06.</w:t>
      </w:r>
      <w:r>
        <w:rPr>
          <w:rFonts w:ascii="Times New Roman" w:hAnsi="Times New Roman"/>
          <w:sz w:val="28"/>
        </w:rPr>
        <w:t xml:space="preserve">2015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176-ФЗ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 внесении изменений в Жилищный кодекс Российской Федерации и отдельные законодательные акты Российской Федерации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внесены изменения в часть 4 статьи 154 ЖК РФ, согласно которым плата за коммунальные услуги включает в себя плату за обращение с ТКО.</w:t>
      </w:r>
    </w:p>
    <w:p w14:paraId="54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настоящих Правилах применяются следующие понятия: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бункер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— мусоросборник, предназначенный для складирования крупногабаритных отходов;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вывоз твердых коммунальных отходов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— транспортирование твердых коммунальных отходов от мест их накопления и сбора до объектов, используемых для обработки, утилизации, обезвреживания, захоронения твердых коммунальных отходов;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контейнер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— мусоросборник, предназначенный для складирования твердых коммунальных отходов, за исключением крупногабаритных отходов;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контейнерная площадка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— место накопления твердых коммунальных отходов,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 и предназначенное для размещения контейнеров и бункеров; </w:t>
      </w: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крупногабаритные отходы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— твердые коммунальные отходы (мебель, бытовая техника, отходы от текущего ремонта жилых помещений и др.), размер которых не позволяет осуществить их складирование в контейнерах;</w:t>
      </w:r>
    </w:p>
    <w:p w14:paraId="55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договором на оказание услуг по обращению с твердыми коммунальными отходами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в местах сбора и накопления твердых коммунальных отходов складирование твердых коммунальных отходов осуществляется потребителями следующими способами: а) в контейнеры, расположенные в мусороприемных камерах (при наличии соответствующей внутридомовой инженерной системы); б) в контейнеры, бункеры, расположенные на контейнерных площадках; в) в пакеты или другие емкости, предоставленные региональным оператором. </w:t>
      </w:r>
    </w:p>
    <w:p w14:paraId="56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договором на оказание услуг по обращению с твердыми коммунальными отходами в местах сбора и накопления твердых коммунальных отходов складирование крупногабаритных отходов осуществляется потребителями следующими способами: а) в бункеры, расположенные на контейнерных площадках; б) на специальных площадках для складирования крупногабаритных отходов. </w:t>
      </w:r>
    </w:p>
    <w:p w14:paraId="57020000">
      <w:pPr>
        <w:spacing w:after="0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Вывоз крупногабаритных отходов обеспечивается в соответствии с законодательством Российской Федерации региональным оператором, в том числе по заявкам потребителей, либо самостоятельно потребителями путем </w:t>
      </w:r>
      <w:r>
        <w:rPr>
          <w:rFonts w:ascii="Times New Roman" w:hAnsi="Times New Roman"/>
          <w:sz w:val="28"/>
        </w:rPr>
        <w:t xml:space="preserve">доставки крупногабаритных отходов на площадку для их складирования. Места расположения таких площадок определяются в соответствии со схемами обращения с отходами и указываются в договоре на оказание услуг по обращению с твердыми коммунальными отходами. Таким образом, в договоре должно быть прописано, что вывоз крупногабаритного мусора входит в состав платы за содержание общего имущества дома, а также обозначены площадки накопления такого мусора. </w:t>
      </w:r>
    </w:p>
    <w:p w14:paraId="58020000">
      <w:pPr>
        <w:spacing w:after="0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На основании вышеизложенного, определяем следующие правила обращения с КГО: </w:t>
      </w:r>
    </w:p>
    <w:p w14:paraId="59020000">
      <w:pPr>
        <w:pStyle w:val="Style_10"/>
        <w:numPr>
          <w:ilvl w:val="0"/>
          <w:numId w:val="8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Вывоз крупногабаритных отходов является обязанностью Регионального оператора;</w:t>
      </w:r>
    </w:p>
    <w:p w14:paraId="5A020000">
      <w:pPr>
        <w:pStyle w:val="Style_10"/>
        <w:numPr>
          <w:ilvl w:val="0"/>
          <w:numId w:val="8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крупногабаритные отходы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- твердые коммунальные отходы (мебель, бытовая техника и др.), размер которых не позволяет осуществить их складирование в контейнерах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14:paraId="5B020000">
      <w:pPr>
        <w:pStyle w:val="Style_10"/>
        <w:numPr>
          <w:ilvl w:val="0"/>
          <w:numId w:val="8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Сбор и временное хранение крупногабаритных отходов осуществляется в бункерах-накопителях либо на площадках накопления. Общих требований к срокам вывоза КГО или к размеру площадок для накопления нет. Это остается предметом договоренности между Управляющей компанией и оператором по обращению с отходами.</w:t>
      </w:r>
    </w:p>
    <w:p w14:paraId="5C020000">
      <w:pPr>
        <w:pStyle w:val="Style_10"/>
        <w:numPr>
          <w:ilvl w:val="0"/>
          <w:numId w:val="8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Отходы учитываются в местах сбора, при транспортировке и размещении. Такой учет обязан вести региональный оператор по обращению с твердыми коммунальными отходами. Отчитываться он должен перед органом исполнительной власти субъекта Российской Федерации с которым заключен контракт. В местах накопления отходы учитываются расчетным путем, по нормативам или количеству контейнеров и бункеров. На объектах обработки и размещения крупногабаритных отходов должны быть установлены средства весового контроля. Причем, в случае отсутствия средств контроля или их неисправности свыше 30 дней учитываемый объем отходов уменьшается вдвое от расчетного. Таким образом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введен экономический стимул для установки и поддержания в исправности весового оборудования. Ведь если весов нет, то оплата будет производиться по количеству отходов, уменьшенному вдвое от вместимости кузова.</w:t>
      </w:r>
    </w:p>
    <w:p w14:paraId="5D020000">
      <w:pPr>
        <w:pStyle w:val="Style_10"/>
        <w:numPr>
          <w:ilvl w:val="0"/>
          <w:numId w:val="8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Тариф на вывоз твердых коммунальных отходов должен учитывать также и вывоз крупногабаритного мусора. Однако в виду того, что сбор крупногабаритных бытовых отходов осуществляется в отдельные бункеры и специальными мусоровозами-бункеровозами, то тариф пересчитывается применительно к этой системе сбора.</w:t>
      </w:r>
      <w:r>
        <w:rPr>
          <w:rFonts w:ascii="Times New Roman" w:hAnsi="Times New Roman"/>
          <w:sz w:val="28"/>
        </w:rPr>
        <w:t> Установление отдельного тарифа на вывоз КГ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законом не предусмотрено.</w:t>
      </w:r>
    </w:p>
    <w:p w14:paraId="5E020000">
      <w:pPr>
        <w:pStyle w:val="Style_10"/>
        <w:numPr>
          <w:ilvl w:val="0"/>
          <w:numId w:val="8"/>
        </w:numPr>
        <w:spacing w:after="0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Доля КГО в ТКО должна устанавливаться в результате проведения практических замеров и взвешиваний. </w:t>
      </w:r>
    </w:p>
    <w:sectPr>
      <w:foot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ft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lvlText w:val="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1">
    <w:lvl w:ilvl="0">
      <w:start w:val="1"/>
      <w:numFmt w:val="bullet"/>
      <w:lvlText w:val=""/>
      <w:lvlJc w:val="left"/>
      <w:pPr>
        <w:ind w:hanging="360" w:left="1429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2149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869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589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309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5029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749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469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189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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lvl w:ilvl="0">
      <w:start w:val="1"/>
      <w:numFmt w:val="decimal"/>
      <w:lvlText w:val="%1."/>
      <w:lvlJc w:val="left"/>
      <w:pPr>
        <w:ind w:hanging="360" w:left="1069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leader="none" w:pos="2880" w:val="left"/>
        </w:tabs>
        <w:ind w:hanging="360" w:left="288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leader="none" w:pos="3600" w:val="left"/>
        </w:tabs>
        <w:ind w:hanging="360" w:left="360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leader="none" w:pos="5040" w:val="left"/>
        </w:tabs>
        <w:ind w:hanging="360" w:left="504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leader="none" w:pos="5760" w:val="left"/>
        </w:tabs>
        <w:ind w:hanging="360" w:left="57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  <w:sz w:val="20"/>
      </w:rPr>
    </w:lvl>
  </w:abstractNum>
  <w:abstractNum w:abstractNumId="7">
    <w:lvl w:ilvl="0">
      <w:start w:val="1"/>
      <w:numFmt w:val="decimal"/>
      <w:lvlText w:val="%1."/>
      <w:lvlJc w:val="left"/>
      <w:pPr>
        <w:ind w:hanging="360" w:left="1069"/>
      </w:pPr>
      <w:rPr>
        <w:rFonts w:ascii="Times New Roman" w:hAnsi="Times New Roman"/>
        <w:color w:val="464646"/>
        <w:sz w:val="28"/>
      </w:r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ajorAscii" w:hAnsiTheme="maj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</w:style>
  <w:style w:default="1" w:styleId="Style_9_ch" w:type="character">
    <w:name w:val="Normal"/>
    <w:link w:val="Style_9"/>
  </w:style>
  <w:style w:styleId="Style_15" w:type="paragraph">
    <w:name w:val="Intense Reference"/>
    <w:link w:val="Style_15_ch"/>
    <w:rPr>
      <w:b w:val="1"/>
      <w:smallCaps w:val="1"/>
    </w:rPr>
  </w:style>
  <w:style w:styleId="Style_15_ch" w:type="character">
    <w:name w:val="Intense Reference"/>
    <w:link w:val="Style_15"/>
    <w:rPr>
      <w:b w:val="1"/>
      <w:smallCaps w:val="1"/>
    </w:rPr>
  </w:style>
  <w:style w:styleId="Style_4" w:type="paragraph">
    <w:name w:val="toc 2"/>
    <w:basedOn w:val="Style_9"/>
    <w:next w:val="Style_9"/>
    <w:link w:val="Style_4_ch"/>
    <w:uiPriority w:val="39"/>
    <w:pPr>
      <w:spacing w:after="100"/>
      <w:ind w:firstLine="0" w:left="220"/>
    </w:pPr>
  </w:style>
  <w:style w:styleId="Style_4_ch" w:type="character">
    <w:name w:val="toc 2"/>
    <w:basedOn w:val="Style_9_ch"/>
    <w:link w:val="Style_4"/>
  </w:style>
  <w:style w:styleId="Style_16" w:type="paragraph">
    <w:name w:val="ConsPlusNormal"/>
    <w:link w:val="Style_16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16_ch" w:type="character">
    <w:name w:val="ConsPlusNormal"/>
    <w:link w:val="Style_16"/>
    <w:rPr>
      <w:rFonts w:ascii="Arial" w:hAnsi="Arial"/>
      <w:sz w:val="20"/>
    </w:rPr>
  </w:style>
  <w:style w:styleId="Style_17" w:type="paragraph">
    <w:name w:val="Subtle Emphasis"/>
    <w:link w:val="Style_17_ch"/>
    <w:rPr>
      <w:i w:val="1"/>
    </w:rPr>
  </w:style>
  <w:style w:styleId="Style_17_ch" w:type="character">
    <w:name w:val="Subtle Emphasis"/>
    <w:link w:val="Style_17"/>
    <w:rPr>
      <w:i w:val="1"/>
    </w:rPr>
  </w:style>
  <w:style w:styleId="Style_18" w:type="paragraph">
    <w:name w:val="toc 4"/>
    <w:next w:val="Style_9"/>
    <w:link w:val="Style_1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8_ch" w:type="character">
    <w:name w:val="toc 4"/>
    <w:link w:val="Style_18"/>
    <w:rPr>
      <w:rFonts w:ascii="XO Thames" w:hAnsi="XO Thames"/>
      <w:sz w:val="28"/>
    </w:rPr>
  </w:style>
  <w:style w:styleId="Style_19" w:type="paragraph">
    <w:name w:val="heading 7"/>
    <w:basedOn w:val="Style_9"/>
    <w:next w:val="Style_9"/>
    <w:link w:val="Style_19_ch"/>
    <w:uiPriority w:val="9"/>
    <w:qFormat/>
    <w:pPr>
      <w:spacing w:after="0"/>
      <w:ind/>
      <w:outlineLvl w:val="6"/>
    </w:pPr>
    <w:rPr>
      <w:b w:val="1"/>
      <w:i w:val="1"/>
      <w:color w:themeColor="text1" w:themeTint="A5" w:val="595959"/>
      <w:sz w:val="20"/>
    </w:rPr>
  </w:style>
  <w:style w:styleId="Style_19_ch" w:type="character">
    <w:name w:val="heading 7"/>
    <w:basedOn w:val="Style_9_ch"/>
    <w:link w:val="Style_19"/>
    <w:rPr>
      <w:b w:val="1"/>
      <w:i w:val="1"/>
      <w:color w:themeColor="text1" w:themeTint="A5" w:val="595959"/>
      <w:sz w:val="20"/>
    </w:rPr>
  </w:style>
  <w:style w:styleId="Style_12" w:type="paragraph">
    <w:name w:val="Default"/>
    <w:link w:val="Style_12_ch"/>
    <w:pPr>
      <w:spacing w:after="0" w:line="240" w:lineRule="auto"/>
      <w:ind/>
    </w:pPr>
    <w:rPr>
      <w:rFonts w:ascii="Wingdings" w:hAnsi="Wingdings"/>
      <w:color w:val="000000"/>
      <w:sz w:val="24"/>
    </w:rPr>
  </w:style>
  <w:style w:styleId="Style_12_ch" w:type="character">
    <w:name w:val="Default"/>
    <w:link w:val="Style_12"/>
    <w:rPr>
      <w:rFonts w:ascii="Wingdings" w:hAnsi="Wingdings"/>
      <w:color w:val="000000"/>
      <w:sz w:val="24"/>
    </w:rPr>
  </w:style>
  <w:style w:styleId="Style_20" w:type="paragraph">
    <w:name w:val="toc 6"/>
    <w:next w:val="Style_9"/>
    <w:link w:val="Style_2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0_ch" w:type="character">
    <w:name w:val="toc 6"/>
    <w:link w:val="Style_20"/>
    <w:rPr>
      <w:rFonts w:ascii="XO Thames" w:hAnsi="XO Thames"/>
      <w:sz w:val="28"/>
    </w:rPr>
  </w:style>
  <w:style w:styleId="Style_21" w:type="paragraph">
    <w:name w:val="toc 7"/>
    <w:next w:val="Style_9"/>
    <w:link w:val="Style_2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1_ch" w:type="character">
    <w:name w:val="toc 7"/>
    <w:link w:val="Style_21"/>
    <w:rPr>
      <w:rFonts w:ascii="XO Thames" w:hAnsi="XO Thames"/>
      <w:sz w:val="28"/>
    </w:rPr>
  </w:style>
  <w:style w:styleId="Style_22" w:type="paragraph">
    <w:name w:val="End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Endnote"/>
    <w:link w:val="Style_22"/>
    <w:rPr>
      <w:rFonts w:ascii="XO Thames" w:hAnsi="XO Thames"/>
      <w:sz w:val="22"/>
    </w:rPr>
  </w:style>
  <w:style w:styleId="Style_23" w:type="paragraph">
    <w:name w:val="heading 3"/>
    <w:basedOn w:val="Style_9"/>
    <w:next w:val="Style_9"/>
    <w:link w:val="Style_23_ch"/>
    <w:uiPriority w:val="9"/>
    <w:qFormat/>
    <w:pPr>
      <w:spacing w:after="0" w:before="200" w:line="276" w:lineRule="auto"/>
      <w:ind/>
      <w:outlineLvl w:val="2"/>
    </w:pPr>
    <w:rPr>
      <w:i w:val="1"/>
      <w:smallCaps w:val="1"/>
      <w:spacing w:val="5"/>
      <w:sz w:val="26"/>
    </w:rPr>
  </w:style>
  <w:style w:styleId="Style_23_ch" w:type="character">
    <w:name w:val="heading 3"/>
    <w:basedOn w:val="Style_9_ch"/>
    <w:link w:val="Style_23"/>
    <w:rPr>
      <w:i w:val="1"/>
      <w:smallCaps w:val="1"/>
      <w:spacing w:val="5"/>
      <w:sz w:val="26"/>
    </w:rPr>
  </w:style>
  <w:style w:styleId="Style_24" w:type="paragraph">
    <w:name w:val="Intense Quote"/>
    <w:basedOn w:val="Style_9"/>
    <w:next w:val="Style_9"/>
    <w:link w:val="Style_24_ch"/>
    <w:pPr>
      <w:spacing w:after="240" w:before="240" w:line="300" w:lineRule="auto"/>
      <w:ind w:firstLine="0" w:left="1152" w:right="1152"/>
      <w:jc w:val="both"/>
    </w:pPr>
    <w:rPr>
      <w:i w:val="1"/>
    </w:rPr>
  </w:style>
  <w:style w:styleId="Style_24_ch" w:type="character">
    <w:name w:val="Intense Quote"/>
    <w:basedOn w:val="Style_9_ch"/>
    <w:link w:val="Style_24"/>
    <w:rPr>
      <w:i w:val="1"/>
    </w:rPr>
  </w:style>
  <w:style w:styleId="Style_25" w:type="paragraph">
    <w:name w:val="Strong"/>
    <w:link w:val="Style_25_ch"/>
    <w:rPr>
      <w:b w:val="1"/>
    </w:rPr>
  </w:style>
  <w:style w:styleId="Style_25_ch" w:type="character">
    <w:name w:val="Strong"/>
    <w:link w:val="Style_25"/>
    <w:rPr>
      <w:b w:val="1"/>
    </w:rPr>
  </w:style>
  <w:style w:styleId="Style_26" w:type="paragraph">
    <w:name w:val="heading 9"/>
    <w:basedOn w:val="Style_9"/>
    <w:next w:val="Style_9"/>
    <w:link w:val="Style_26_ch"/>
    <w:uiPriority w:val="9"/>
    <w:qFormat/>
    <w:pPr>
      <w:spacing w:after="0" w:line="276" w:lineRule="auto"/>
      <w:ind/>
      <w:outlineLvl w:val="8"/>
    </w:pPr>
    <w:rPr>
      <w:b w:val="1"/>
      <w:i w:val="1"/>
      <w:color w:themeColor="text1" w:themeTint="80" w:val="7F7F7F"/>
      <w:sz w:val="18"/>
    </w:rPr>
  </w:style>
  <w:style w:styleId="Style_26_ch" w:type="character">
    <w:name w:val="heading 9"/>
    <w:basedOn w:val="Style_9_ch"/>
    <w:link w:val="Style_26"/>
    <w:rPr>
      <w:b w:val="1"/>
      <w:i w:val="1"/>
      <w:color w:themeColor="text1" w:themeTint="80" w:val="7F7F7F"/>
      <w:sz w:val="18"/>
    </w:rPr>
  </w:style>
  <w:style w:styleId="Style_27" w:type="paragraph">
    <w:name w:val="Balloon Text"/>
    <w:basedOn w:val="Style_9"/>
    <w:link w:val="Style_27_ch"/>
    <w:pPr>
      <w:spacing w:after="0" w:line="240" w:lineRule="auto"/>
      <w:ind/>
    </w:pPr>
    <w:rPr>
      <w:rFonts w:ascii="Tahoma" w:hAnsi="Tahoma"/>
      <w:sz w:val="16"/>
    </w:rPr>
  </w:style>
  <w:style w:styleId="Style_27_ch" w:type="character">
    <w:name w:val="Balloon Text"/>
    <w:basedOn w:val="Style_9_ch"/>
    <w:link w:val="Style_27"/>
    <w:rPr>
      <w:rFonts w:ascii="Tahoma" w:hAnsi="Tahoma"/>
      <w:sz w:val="16"/>
    </w:rPr>
  </w:style>
  <w:style w:styleId="Style_28" w:type="paragraph">
    <w:name w:val="Emphasis"/>
    <w:link w:val="Style_28_ch"/>
    <w:rPr>
      <w:b w:val="1"/>
      <w:i w:val="1"/>
      <w:spacing w:val="10"/>
    </w:rPr>
  </w:style>
  <w:style w:styleId="Style_28_ch" w:type="character">
    <w:name w:val="Emphasis"/>
    <w:link w:val="Style_28"/>
    <w:rPr>
      <w:b w:val="1"/>
      <w:i w:val="1"/>
      <w:spacing w:val="10"/>
    </w:rPr>
  </w:style>
  <w:style w:styleId="Style_2" w:type="paragraph">
    <w:name w:val="TOC Heading"/>
    <w:basedOn w:val="Style_6"/>
    <w:next w:val="Style_9"/>
    <w:link w:val="Style_2_ch"/>
    <w:pPr>
      <w:ind/>
      <w:outlineLvl w:val="8"/>
    </w:pPr>
  </w:style>
  <w:style w:styleId="Style_2_ch" w:type="character">
    <w:name w:val="TOC Heading"/>
    <w:basedOn w:val="Style_6_ch"/>
    <w:link w:val="Style_2"/>
  </w:style>
  <w:style w:styleId="Style_29" w:type="paragraph">
    <w:name w:val="Intense Emphasis"/>
    <w:link w:val="Style_29_ch"/>
    <w:rPr>
      <w:b w:val="1"/>
      <w:i w:val="1"/>
    </w:rPr>
  </w:style>
  <w:style w:styleId="Style_29_ch" w:type="character">
    <w:name w:val="Intense Emphasis"/>
    <w:link w:val="Style_29"/>
    <w:rPr>
      <w:b w:val="1"/>
      <w:i w:val="1"/>
    </w:rPr>
  </w:style>
  <w:style w:styleId="Style_5" w:type="paragraph">
    <w:name w:val="toc 3"/>
    <w:basedOn w:val="Style_9"/>
    <w:next w:val="Style_9"/>
    <w:link w:val="Style_5_ch"/>
    <w:uiPriority w:val="39"/>
    <w:pPr>
      <w:spacing w:after="100"/>
      <w:ind w:firstLine="0" w:left="440"/>
    </w:pPr>
  </w:style>
  <w:style w:styleId="Style_5_ch" w:type="character">
    <w:name w:val="toc 3"/>
    <w:basedOn w:val="Style_9_ch"/>
    <w:link w:val="Style_5"/>
  </w:style>
  <w:style w:styleId="Style_1" w:type="paragraph">
    <w:name w:val="footer"/>
    <w:basedOn w:val="Style_9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9_ch"/>
    <w:link w:val="Style_1"/>
  </w:style>
  <w:style w:styleId="Style_30" w:type="paragraph">
    <w:name w:val="heading 5"/>
    <w:basedOn w:val="Style_9"/>
    <w:next w:val="Style_9"/>
    <w:link w:val="Style_30_ch"/>
    <w:uiPriority w:val="9"/>
    <w:qFormat/>
    <w:pPr>
      <w:spacing w:after="0" w:line="276" w:lineRule="auto"/>
      <w:ind/>
      <w:outlineLvl w:val="4"/>
    </w:pPr>
    <w:rPr>
      <w:i w:val="1"/>
      <w:sz w:val="24"/>
    </w:rPr>
  </w:style>
  <w:style w:styleId="Style_30_ch" w:type="character">
    <w:name w:val="heading 5"/>
    <w:basedOn w:val="Style_9_ch"/>
    <w:link w:val="Style_30"/>
    <w:rPr>
      <w:i w:val="1"/>
      <w:sz w:val="24"/>
    </w:rPr>
  </w:style>
  <w:style w:styleId="Style_13" w:type="paragraph">
    <w:name w:val="Normal (Web)"/>
    <w:basedOn w:val="Style_9"/>
    <w:link w:val="Style_1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3_ch" w:type="character">
    <w:name w:val="Normal (Web)"/>
    <w:basedOn w:val="Style_9_ch"/>
    <w:link w:val="Style_13"/>
    <w:rPr>
      <w:rFonts w:ascii="Times New Roman" w:hAnsi="Times New Roman"/>
      <w:sz w:val="24"/>
    </w:rPr>
  </w:style>
  <w:style w:styleId="Style_11" w:type="paragraph">
    <w:name w:val="No Spacing"/>
    <w:basedOn w:val="Style_9"/>
    <w:link w:val="Style_11_ch"/>
    <w:pPr>
      <w:spacing w:after="0" w:line="240" w:lineRule="auto"/>
      <w:ind/>
    </w:pPr>
  </w:style>
  <w:style w:styleId="Style_11_ch" w:type="character">
    <w:name w:val="No Spacing"/>
    <w:basedOn w:val="Style_9_ch"/>
    <w:link w:val="Style_11"/>
  </w:style>
  <w:style w:styleId="Style_6" w:type="paragraph">
    <w:name w:val="heading 1"/>
    <w:basedOn w:val="Style_9"/>
    <w:next w:val="Style_9"/>
    <w:link w:val="Style_6_ch"/>
    <w:uiPriority w:val="9"/>
    <w:qFormat/>
    <w:pPr>
      <w:spacing w:line="360" w:lineRule="auto"/>
      <w:ind w:firstLine="709" w:left="0"/>
      <w:contextualSpacing w:val="1"/>
      <w:jc w:val="both"/>
      <w:outlineLvl w:val="0"/>
    </w:pPr>
    <w:rPr>
      <w:rFonts w:ascii="Times New Roman" w:hAnsi="Times New Roman"/>
      <w:b w:val="1"/>
      <w:sz w:val="28"/>
    </w:rPr>
  </w:style>
  <w:style w:styleId="Style_6_ch" w:type="character">
    <w:name w:val="heading 1"/>
    <w:basedOn w:val="Style_9_ch"/>
    <w:link w:val="Style_6"/>
    <w:rPr>
      <w:rFonts w:ascii="Times New Roman" w:hAnsi="Times New Roman"/>
      <w:b w:val="1"/>
      <w:sz w:val="28"/>
    </w:rPr>
  </w:style>
  <w:style w:styleId="Style_31" w:type="paragraph">
    <w:name w:val="extra_fields_value"/>
    <w:basedOn w:val="Style_32"/>
    <w:link w:val="Style_31_ch"/>
  </w:style>
  <w:style w:styleId="Style_31_ch" w:type="character">
    <w:name w:val="extra_fields_value"/>
    <w:basedOn w:val="Style_32_ch"/>
    <w:link w:val="Style_31"/>
  </w:style>
  <w:style w:styleId="Style_32" w:type="paragraph">
    <w:name w:val="Default Paragraph Font"/>
    <w:link w:val="Style_32_ch"/>
  </w:style>
  <w:style w:styleId="Style_32_ch" w:type="character">
    <w:name w:val="Default Paragraph Font"/>
    <w:link w:val="Style_32"/>
  </w:style>
  <w:style w:styleId="Style_33" w:type="paragraph">
    <w:name w:val="Quote"/>
    <w:basedOn w:val="Style_9"/>
    <w:next w:val="Style_9"/>
    <w:link w:val="Style_33_ch"/>
    <w:rPr>
      <w:i w:val="1"/>
    </w:rPr>
  </w:style>
  <w:style w:styleId="Style_33_ch" w:type="character">
    <w:name w:val="Quote"/>
    <w:basedOn w:val="Style_9_ch"/>
    <w:link w:val="Style_33"/>
    <w:rPr>
      <w:i w:val="1"/>
    </w:rPr>
  </w:style>
  <w:style w:styleId="Style_14" w:type="paragraph">
    <w:name w:val="Hyperlink"/>
    <w:basedOn w:val="Style_32"/>
    <w:link w:val="Style_14_ch"/>
    <w:rPr>
      <w:color w:val="0000FF"/>
      <w:u w:val="single"/>
    </w:rPr>
  </w:style>
  <w:style w:styleId="Style_14_ch" w:type="character">
    <w:name w:val="Hyperlink"/>
    <w:basedOn w:val="Style_32_ch"/>
    <w:link w:val="Style_14"/>
    <w:rPr>
      <w:color w:val="0000FF"/>
      <w:u w:val="single"/>
    </w:rPr>
  </w:style>
  <w:style w:styleId="Style_34" w:type="paragraph">
    <w:name w:val="Footnote"/>
    <w:link w:val="Style_34_ch"/>
    <w:pPr>
      <w:ind w:firstLine="851" w:left="0"/>
      <w:jc w:val="both"/>
    </w:pPr>
    <w:rPr>
      <w:rFonts w:ascii="XO Thames" w:hAnsi="XO Thames"/>
      <w:sz w:val="22"/>
    </w:rPr>
  </w:style>
  <w:style w:styleId="Style_34_ch" w:type="character">
    <w:name w:val="Footnote"/>
    <w:link w:val="Style_34"/>
    <w:rPr>
      <w:rFonts w:ascii="XO Thames" w:hAnsi="XO Thames"/>
      <w:sz w:val="22"/>
    </w:rPr>
  </w:style>
  <w:style w:styleId="Style_35" w:type="paragraph">
    <w:name w:val="heading 8"/>
    <w:basedOn w:val="Style_9"/>
    <w:next w:val="Style_9"/>
    <w:link w:val="Style_35_ch"/>
    <w:uiPriority w:val="9"/>
    <w:qFormat/>
    <w:pPr>
      <w:spacing w:after="0"/>
      <w:ind/>
      <w:outlineLvl w:val="7"/>
    </w:pPr>
    <w:rPr>
      <w:b w:val="1"/>
      <w:color w:themeColor="text1" w:themeTint="80" w:val="7F7F7F"/>
      <w:sz w:val="20"/>
    </w:rPr>
  </w:style>
  <w:style w:styleId="Style_35_ch" w:type="character">
    <w:name w:val="heading 8"/>
    <w:basedOn w:val="Style_9_ch"/>
    <w:link w:val="Style_35"/>
    <w:rPr>
      <w:b w:val="1"/>
      <w:color w:themeColor="text1" w:themeTint="80" w:val="7F7F7F"/>
      <w:sz w:val="20"/>
    </w:rPr>
  </w:style>
  <w:style w:styleId="Style_3" w:type="paragraph">
    <w:name w:val="toc 1"/>
    <w:basedOn w:val="Style_9"/>
    <w:next w:val="Style_9"/>
    <w:link w:val="Style_3_ch"/>
    <w:uiPriority w:val="39"/>
    <w:pPr>
      <w:spacing w:after="100"/>
      <w:ind/>
    </w:pPr>
  </w:style>
  <w:style w:styleId="Style_3_ch" w:type="character">
    <w:name w:val="toc 1"/>
    <w:basedOn w:val="Style_9_ch"/>
    <w:link w:val="Style_3"/>
  </w:style>
  <w:style w:styleId="Style_36" w:type="paragraph">
    <w:name w:val="Header and Footer"/>
    <w:link w:val="Style_36_ch"/>
    <w:pPr>
      <w:spacing w:line="240" w:lineRule="auto"/>
      <w:ind/>
      <w:jc w:val="both"/>
    </w:pPr>
    <w:rPr>
      <w:rFonts w:ascii="XO Thames" w:hAnsi="XO Thames"/>
      <w:sz w:val="20"/>
    </w:rPr>
  </w:style>
  <w:style w:styleId="Style_36_ch" w:type="character">
    <w:name w:val="Header and Footer"/>
    <w:link w:val="Style_36"/>
    <w:rPr>
      <w:rFonts w:ascii="XO Thames" w:hAnsi="XO Thames"/>
      <w:sz w:val="20"/>
    </w:rPr>
  </w:style>
  <w:style w:styleId="Style_10" w:type="paragraph">
    <w:name w:val="List Paragraph"/>
    <w:basedOn w:val="Style_9"/>
    <w:link w:val="Style_10_ch"/>
    <w:pPr>
      <w:ind w:firstLine="0" w:left="720"/>
      <w:contextualSpacing w:val="1"/>
    </w:pPr>
  </w:style>
  <w:style w:styleId="Style_10_ch" w:type="character">
    <w:name w:val="List Paragraph"/>
    <w:basedOn w:val="Style_9_ch"/>
    <w:link w:val="Style_10"/>
  </w:style>
  <w:style w:styleId="Style_37" w:type="paragraph">
    <w:name w:val="toc 9"/>
    <w:next w:val="Style_9"/>
    <w:link w:val="Style_3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7_ch" w:type="character">
    <w:name w:val="toc 9"/>
    <w:link w:val="Style_37"/>
    <w:rPr>
      <w:rFonts w:ascii="XO Thames" w:hAnsi="XO Thames"/>
      <w:sz w:val="28"/>
    </w:rPr>
  </w:style>
  <w:style w:styleId="Style_38" w:type="paragraph">
    <w:name w:val="toc 8"/>
    <w:next w:val="Style_9"/>
    <w:link w:val="Style_3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8_ch" w:type="character">
    <w:name w:val="toc 8"/>
    <w:link w:val="Style_38"/>
    <w:rPr>
      <w:rFonts w:ascii="XO Thames" w:hAnsi="XO Thames"/>
      <w:sz w:val="28"/>
    </w:rPr>
  </w:style>
  <w:style w:styleId="Style_8" w:type="paragraph">
    <w:name w:val="_Абзац"/>
    <w:basedOn w:val="Style_9"/>
    <w:link w:val="Style_8_ch"/>
    <w:pPr>
      <w:spacing w:after="0" w:line="360" w:lineRule="auto"/>
      <w:ind w:firstLine="709" w:left="0"/>
      <w:jc w:val="both"/>
    </w:pPr>
    <w:rPr>
      <w:rFonts w:ascii="Times New Roman" w:hAnsi="Times New Roman"/>
      <w:sz w:val="28"/>
    </w:rPr>
  </w:style>
  <w:style w:styleId="Style_8_ch" w:type="character">
    <w:name w:val="_Абзац"/>
    <w:basedOn w:val="Style_9_ch"/>
    <w:link w:val="Style_8"/>
    <w:rPr>
      <w:rFonts w:ascii="Times New Roman" w:hAnsi="Times New Roman"/>
      <w:sz w:val="28"/>
    </w:rPr>
  </w:style>
  <w:style w:styleId="Style_39" w:type="paragraph">
    <w:name w:val="FollowedHyperlink"/>
    <w:basedOn w:val="Style_32"/>
    <w:link w:val="Style_39_ch"/>
    <w:rPr>
      <w:color w:themeColor="followedHyperlink" w:val="800080"/>
      <w:u w:val="single"/>
    </w:rPr>
  </w:style>
  <w:style w:styleId="Style_39_ch" w:type="character">
    <w:name w:val="FollowedHyperlink"/>
    <w:basedOn w:val="Style_32_ch"/>
    <w:link w:val="Style_39"/>
    <w:rPr>
      <w:color w:themeColor="followedHyperlink" w:val="800080"/>
      <w:u w:val="single"/>
    </w:rPr>
  </w:style>
  <w:style w:styleId="Style_40" w:type="paragraph">
    <w:name w:val="Book Title"/>
    <w:basedOn w:val="Style_32"/>
    <w:link w:val="Style_40_ch"/>
    <w:rPr>
      <w:i w:val="1"/>
      <w:smallCaps w:val="1"/>
      <w:spacing w:val="5"/>
    </w:rPr>
  </w:style>
  <w:style w:styleId="Style_40_ch" w:type="character">
    <w:name w:val="Book Title"/>
    <w:basedOn w:val="Style_32_ch"/>
    <w:link w:val="Style_40"/>
    <w:rPr>
      <w:i w:val="1"/>
      <w:smallCaps w:val="1"/>
      <w:spacing w:val="5"/>
    </w:rPr>
  </w:style>
  <w:style w:styleId="Style_41" w:type="paragraph">
    <w:name w:val="Абзац списка1"/>
    <w:basedOn w:val="Style_9"/>
    <w:link w:val="Style_41_ch"/>
    <w:pPr>
      <w:ind w:firstLine="0" w:left="720"/>
      <w:contextualSpacing w:val="1"/>
    </w:pPr>
    <w:rPr>
      <w:rFonts w:ascii="Calibri" w:hAnsi="Calibri"/>
    </w:rPr>
  </w:style>
  <w:style w:styleId="Style_41_ch" w:type="character">
    <w:name w:val="Абзац списка1"/>
    <w:basedOn w:val="Style_9_ch"/>
    <w:link w:val="Style_41"/>
    <w:rPr>
      <w:rFonts w:ascii="Calibri" w:hAnsi="Calibri"/>
    </w:rPr>
  </w:style>
  <w:style w:styleId="Style_42" w:type="paragraph">
    <w:name w:val="toc 5"/>
    <w:next w:val="Style_9"/>
    <w:link w:val="Style_4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2_ch" w:type="character">
    <w:name w:val="toc 5"/>
    <w:link w:val="Style_42"/>
    <w:rPr>
      <w:rFonts w:ascii="XO Thames" w:hAnsi="XO Thames"/>
      <w:sz w:val="28"/>
    </w:rPr>
  </w:style>
  <w:style w:styleId="Style_43" w:type="paragraph">
    <w:name w:val="header"/>
    <w:basedOn w:val="Style_9"/>
    <w:link w:val="Style_4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3_ch" w:type="character">
    <w:name w:val="header"/>
    <w:basedOn w:val="Style_9_ch"/>
    <w:link w:val="Style_43"/>
  </w:style>
  <w:style w:styleId="Style_44" w:type="paragraph">
    <w:name w:val="Subtitle"/>
    <w:basedOn w:val="Style_9"/>
    <w:next w:val="Style_9"/>
    <w:link w:val="Style_44_ch"/>
    <w:uiPriority w:val="11"/>
    <w:qFormat/>
    <w:rPr>
      <w:i w:val="1"/>
      <w:smallCaps w:val="1"/>
      <w:spacing w:val="10"/>
      <w:sz w:val="28"/>
    </w:rPr>
  </w:style>
  <w:style w:styleId="Style_44_ch" w:type="character">
    <w:name w:val="Subtitle"/>
    <w:basedOn w:val="Style_9_ch"/>
    <w:link w:val="Style_44"/>
    <w:rPr>
      <w:i w:val="1"/>
      <w:smallCaps w:val="1"/>
      <w:spacing w:val="10"/>
      <w:sz w:val="28"/>
    </w:rPr>
  </w:style>
  <w:style w:styleId="Style_45" w:type="paragraph">
    <w:name w:val="Subtle Reference"/>
    <w:basedOn w:val="Style_32"/>
    <w:link w:val="Style_45_ch"/>
    <w:rPr>
      <w:smallCaps w:val="1"/>
    </w:rPr>
  </w:style>
  <w:style w:styleId="Style_45_ch" w:type="character">
    <w:name w:val="Subtle Reference"/>
    <w:basedOn w:val="Style_32_ch"/>
    <w:link w:val="Style_45"/>
    <w:rPr>
      <w:smallCaps w:val="1"/>
    </w:rPr>
  </w:style>
  <w:style w:styleId="Style_46" w:type="paragraph">
    <w:name w:val="Title"/>
    <w:basedOn w:val="Style_9"/>
    <w:next w:val="Style_9"/>
    <w:link w:val="Style_46_ch"/>
    <w:uiPriority w:val="10"/>
    <w:qFormat/>
    <w:pPr>
      <w:spacing w:after="300" w:line="240" w:lineRule="auto"/>
      <w:ind/>
      <w:contextualSpacing w:val="1"/>
    </w:pPr>
    <w:rPr>
      <w:smallCaps w:val="1"/>
      <w:sz w:val="52"/>
    </w:rPr>
  </w:style>
  <w:style w:styleId="Style_46_ch" w:type="character">
    <w:name w:val="Title"/>
    <w:basedOn w:val="Style_9_ch"/>
    <w:link w:val="Style_46"/>
    <w:rPr>
      <w:smallCaps w:val="1"/>
      <w:sz w:val="52"/>
    </w:rPr>
  </w:style>
  <w:style w:styleId="Style_47" w:type="paragraph">
    <w:name w:val="heading 4"/>
    <w:basedOn w:val="Style_9"/>
    <w:next w:val="Style_9"/>
    <w:link w:val="Style_47_ch"/>
    <w:uiPriority w:val="9"/>
    <w:qFormat/>
    <w:pPr>
      <w:spacing w:after="0" w:line="276" w:lineRule="auto"/>
      <w:ind/>
      <w:outlineLvl w:val="3"/>
    </w:pPr>
    <w:rPr>
      <w:b w:val="1"/>
      <w:spacing w:val="5"/>
      <w:sz w:val="24"/>
    </w:rPr>
  </w:style>
  <w:style w:styleId="Style_47_ch" w:type="character">
    <w:name w:val="heading 4"/>
    <w:basedOn w:val="Style_9_ch"/>
    <w:link w:val="Style_47"/>
    <w:rPr>
      <w:b w:val="1"/>
      <w:spacing w:val="5"/>
      <w:sz w:val="24"/>
    </w:rPr>
  </w:style>
  <w:style w:styleId="Style_48" w:type="paragraph">
    <w:name w:val="heading 2"/>
    <w:basedOn w:val="Style_9"/>
    <w:next w:val="Style_9"/>
    <w:link w:val="Style_48_ch"/>
    <w:uiPriority w:val="9"/>
    <w:qFormat/>
    <w:pPr>
      <w:spacing w:after="0" w:before="200" w:line="276" w:lineRule="auto"/>
      <w:ind/>
      <w:outlineLvl w:val="1"/>
    </w:pPr>
    <w:rPr>
      <w:smallCaps w:val="1"/>
      <w:sz w:val="28"/>
    </w:rPr>
  </w:style>
  <w:style w:styleId="Style_48_ch" w:type="character">
    <w:name w:val="heading 2"/>
    <w:basedOn w:val="Style_9_ch"/>
    <w:link w:val="Style_48"/>
    <w:rPr>
      <w:smallCaps w:val="1"/>
      <w:sz w:val="28"/>
    </w:rPr>
  </w:style>
  <w:style w:styleId="Style_49" w:type="paragraph">
    <w:name w:val="heading 6"/>
    <w:basedOn w:val="Style_9"/>
    <w:next w:val="Style_9"/>
    <w:link w:val="Style_49_ch"/>
    <w:uiPriority w:val="9"/>
    <w:qFormat/>
    <w:pPr>
      <w:spacing w:after="0" w:line="276" w:lineRule="auto"/>
      <w:ind/>
      <w:outlineLvl w:val="5"/>
    </w:pPr>
    <w:rPr>
      <w:b w:val="1"/>
      <w:color w:themeColor="text1" w:themeTint="A6" w:val="595959"/>
      <w:spacing w:val="5"/>
    </w:rPr>
  </w:style>
  <w:style w:styleId="Style_49_ch" w:type="character">
    <w:name w:val="heading 6"/>
    <w:basedOn w:val="Style_9_ch"/>
    <w:link w:val="Style_49"/>
    <w:rPr>
      <w:b w:val="1"/>
      <w:color w:themeColor="text1" w:themeTint="A6" w:val="595959"/>
      <w:spacing w:val="5"/>
    </w:rPr>
  </w:style>
  <w:style w:styleId="Style_50" w:type="table">
    <w:name w:val="Сетка таблицы1"/>
    <w:basedOn w:val="Style_7"/>
    <w:pPr>
      <w:spacing w:after="0" w:line="240" w:lineRule="auto"/>
      <w:ind/>
    </w:pPr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51" w:type="table">
    <w:name w:val="Table Grid"/>
    <w:basedOn w:val="Style_7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2023-11-02T21:47:11Z</dcterms:modified>
</cp:coreProperties>
</file>