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A1F5F" w14:textId="77777777" w:rsidR="00176D1A" w:rsidRPr="002F6F32" w:rsidRDefault="00176D1A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42822F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A893CE3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DF19506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7EEE8BC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3636151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6994548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103A15D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3524E31" w14:textId="77777777" w:rsidR="00B023D3" w:rsidRPr="002F6F32" w:rsidRDefault="00B023D3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78E8CBC" w14:textId="77777777" w:rsidR="00176D1A" w:rsidRPr="002F6F32" w:rsidRDefault="00176D1A" w:rsidP="00176D1A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1B2D187" w14:textId="77777777" w:rsidR="00AE59C1" w:rsidRPr="002F6F32" w:rsidRDefault="00AE59C1" w:rsidP="00AE59C1">
      <w:pPr>
        <w:widowControl w:val="0"/>
        <w:tabs>
          <w:tab w:val="left" w:pos="9921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</w:pPr>
      <w:r w:rsidRPr="002F6F32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>ТЕРРИТОРИАЛЬНАЯ СХЕМА</w:t>
      </w:r>
    </w:p>
    <w:p w14:paraId="641CE5A2" w14:textId="4CAC9251" w:rsidR="00AE59C1" w:rsidRPr="002F6F32" w:rsidRDefault="00AE59C1" w:rsidP="00AE59C1">
      <w:pPr>
        <w:widowControl w:val="0"/>
        <w:tabs>
          <w:tab w:val="left" w:pos="9921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</w:pPr>
      <w:r w:rsidRPr="002F6F32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 xml:space="preserve">ОБРАЩЕНИЯ С ОТХОДАМИ </w:t>
      </w:r>
      <w:r w:rsidR="00E0302A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>КАМЧАТСКОГО КРАЯ</w:t>
      </w:r>
    </w:p>
    <w:p w14:paraId="125F4F98" w14:textId="77777777" w:rsidR="00176D1A" w:rsidRPr="002F6F32" w:rsidRDefault="00176D1A" w:rsidP="00176D1A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 w:cs="Times New Roman"/>
          <w:b/>
          <w:bCs/>
          <w:spacing w:val="30"/>
          <w:sz w:val="28"/>
          <w:szCs w:val="28"/>
          <w:u w:val="single"/>
          <w:lang w:val="ru-RU"/>
        </w:rPr>
      </w:pPr>
    </w:p>
    <w:p w14:paraId="6D7D3CAD" w14:textId="77777777" w:rsidR="00176D1A" w:rsidRPr="002F6F32" w:rsidRDefault="00176D1A" w:rsidP="00176D1A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 w:cs="Times New Roman"/>
          <w:b/>
          <w:bCs/>
          <w:spacing w:val="30"/>
          <w:sz w:val="28"/>
          <w:szCs w:val="28"/>
          <w:u w:val="single"/>
          <w:lang w:val="ru-RU"/>
        </w:rPr>
      </w:pPr>
    </w:p>
    <w:p w14:paraId="788DBD78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70AA91E9" w14:textId="77777777" w:rsidR="00176D1A" w:rsidRPr="002F6F32" w:rsidRDefault="00176D1A" w:rsidP="00176D1A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F6F32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12</w:t>
      </w:r>
    </w:p>
    <w:p w14:paraId="5AAC9872" w14:textId="77777777" w:rsidR="00176D1A" w:rsidRPr="002F6F32" w:rsidRDefault="00176D1A" w:rsidP="00176D1A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A61308C" w14:textId="77777777" w:rsidR="00176D1A" w:rsidRPr="002F6F32" w:rsidRDefault="00176D1A" w:rsidP="00176D1A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F6F32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Pr="002F6F32">
        <w:rPr>
          <w:rFonts w:ascii="Times New Roman" w:hAnsi="Times New Roman" w:cs="Times New Roman"/>
          <w:b/>
          <w:sz w:val="28"/>
          <w:szCs w:val="28"/>
          <w:lang w:val="ru-RU"/>
        </w:rPr>
        <w:t>Прогнозные значения предельных тарифов в области обращения с твердыми коммунальными отходами</w:t>
      </w:r>
      <w:r w:rsidRPr="002F6F32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6D902A3F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4EB1A65A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1047A117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26FBB364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211DDA79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115310F4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3ABE0E93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2841DE24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01F3E286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0445E12F" w14:textId="77777777" w:rsidR="00176D1A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</w:p>
    <w:p w14:paraId="38E74FA6" w14:textId="77777777" w:rsidR="00E0302A" w:rsidRDefault="00E0302A" w:rsidP="00176D1A">
      <w:pPr>
        <w:spacing w:after="160" w:line="259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Камчатский край</w:t>
      </w:r>
      <w:r w:rsidR="00176D1A" w:rsidRPr="002F6F3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</w:p>
    <w:p w14:paraId="07DC8BE4" w14:textId="1CE77025" w:rsidR="00BF0467" w:rsidRPr="002F6F32" w:rsidRDefault="00176D1A" w:rsidP="00176D1A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F6F32">
        <w:rPr>
          <w:rFonts w:ascii="Times New Roman" w:hAnsi="Times New Roman" w:cs="Times New Roman"/>
          <w:bCs/>
          <w:sz w:val="28"/>
          <w:szCs w:val="28"/>
          <w:lang w:val="ru-RU"/>
        </w:rPr>
        <w:t>20</w:t>
      </w:r>
      <w:r w:rsidR="00612B85" w:rsidRPr="002F6F32">
        <w:rPr>
          <w:rFonts w:ascii="Times New Roman" w:hAnsi="Times New Roman" w:cs="Times New Roman"/>
          <w:bCs/>
          <w:sz w:val="28"/>
          <w:szCs w:val="28"/>
          <w:lang w:val="ru-RU"/>
        </w:rPr>
        <w:t>2</w:t>
      </w:r>
      <w:r w:rsidR="00E0302A">
        <w:rPr>
          <w:rFonts w:ascii="Times New Roman" w:hAnsi="Times New Roman" w:cs="Times New Roman"/>
          <w:bCs/>
          <w:sz w:val="28"/>
          <w:szCs w:val="28"/>
          <w:lang w:val="ru-RU"/>
        </w:rPr>
        <w:t>2</w:t>
      </w:r>
      <w:r w:rsidR="00BF0467" w:rsidRPr="002F6F32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32EF5CB2" w14:textId="4D2C9063" w:rsidR="00D14E5C" w:rsidRPr="002F6F32" w:rsidRDefault="00D14E5C" w:rsidP="004365EF">
      <w:pPr>
        <w:pStyle w:val="afd"/>
        <w:spacing w:line="276" w:lineRule="auto"/>
        <w:rPr>
          <w:szCs w:val="28"/>
          <w:shd w:val="clear" w:color="auto" w:fill="FFFFFF"/>
        </w:rPr>
      </w:pPr>
      <w:proofErr w:type="gramStart"/>
      <w:r w:rsidRPr="002F6F32">
        <w:rPr>
          <w:szCs w:val="28"/>
        </w:rPr>
        <w:lastRenderedPageBreak/>
        <w:t xml:space="preserve">Прогнозные значения предельных тарифов в области обращения с твердыми коммунальными отходами  </w:t>
      </w:r>
      <w:r w:rsidRPr="002F6F32">
        <w:rPr>
          <w:szCs w:val="28"/>
          <w:shd w:val="clear" w:color="auto" w:fill="FFFFFF"/>
        </w:rPr>
        <w:t>рассчитываются согласно постановлению Правительства Российской Федерации от 30 мая 2016 г. № 484 "О ценообразовании в области обращения с твердыми коммунальными отходами"</w:t>
      </w:r>
      <w:r w:rsidR="00953C40" w:rsidRPr="002F6F32">
        <w:rPr>
          <w:szCs w:val="28"/>
          <w:shd w:val="clear" w:color="auto" w:fill="FFFFFF"/>
        </w:rPr>
        <w:t xml:space="preserve"> (в редакции, утвержденной Постановлением Правительства РФ от 18 марта 2021 года №414</w:t>
      </w:r>
      <w:r w:rsidR="003F1C57" w:rsidRPr="002F6F32">
        <w:rPr>
          <w:szCs w:val="28"/>
          <w:shd w:val="clear" w:color="auto" w:fill="FFFFFF"/>
        </w:rPr>
        <w:t>, далее - Постановление</w:t>
      </w:r>
      <w:r w:rsidR="007961AF" w:rsidRPr="002F6F32">
        <w:rPr>
          <w:szCs w:val="28"/>
          <w:shd w:val="clear" w:color="auto" w:fill="FFFFFF"/>
        </w:rPr>
        <w:t>)</w:t>
      </w:r>
      <w:r w:rsidRPr="002F6F32">
        <w:rPr>
          <w:szCs w:val="28"/>
          <w:shd w:val="clear" w:color="auto" w:fill="FFFFFF"/>
        </w:rPr>
        <w:t>, Приказу Федеральной антимонопольной службы от 21 ноября 2016 г. N 1638/16 "Об утверждении</w:t>
      </w:r>
      <w:proofErr w:type="gramEnd"/>
      <w:r w:rsidRPr="002F6F32">
        <w:rPr>
          <w:szCs w:val="28"/>
          <w:shd w:val="clear" w:color="auto" w:fill="FFFFFF"/>
        </w:rPr>
        <w:t xml:space="preserve"> Методических указаний по расчету регулируемых тарифов в области обращения с твердыми коммунальными отходами" (далее – Методические указания).</w:t>
      </w:r>
    </w:p>
    <w:p w14:paraId="10836598" w14:textId="7C4445CA" w:rsidR="00AB086F" w:rsidRPr="002F6F32" w:rsidRDefault="00957356" w:rsidP="004365EF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proofErr w:type="gramStart"/>
      <w:r w:rsidRPr="002F6F32">
        <w:rPr>
          <w:sz w:val="28"/>
          <w:szCs w:val="28"/>
        </w:rPr>
        <w:t>Согласно п. 90 Постановления н</w:t>
      </w:r>
      <w:r w:rsidR="003F1C57" w:rsidRPr="002F6F32">
        <w:rPr>
          <w:sz w:val="28"/>
          <w:szCs w:val="28"/>
        </w:rPr>
        <w:t>еобходимая валовая выручка регионального оператора определяется в соответствии с методическими указаниями как сумма необходимой валовой выручки организаций, осуществляющих регулируемые виды деятельности в области обращения с твердыми коммунальными отходами, включая обработку твердых коммунальных отходов, в том числе собственная необходимая валовая выручка регионального оператора, относимая на такие виды деятельности</w:t>
      </w:r>
      <w:r w:rsidR="00AB086F" w:rsidRPr="002F6F32">
        <w:rPr>
          <w:sz w:val="28"/>
          <w:szCs w:val="28"/>
        </w:rPr>
        <w:t>:</w:t>
      </w:r>
      <w:proofErr w:type="gramEnd"/>
    </w:p>
    <w:p w14:paraId="27775BA1" w14:textId="75A06505" w:rsidR="00AB086F" w:rsidRPr="002F6F32" w:rsidRDefault="003F1C57" w:rsidP="004365EF">
      <w:pPr>
        <w:pStyle w:val="formattext"/>
        <w:numPr>
          <w:ilvl w:val="0"/>
          <w:numId w:val="3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расход</w:t>
      </w:r>
      <w:r w:rsidR="00AB086F" w:rsidRPr="002F6F32">
        <w:rPr>
          <w:sz w:val="28"/>
          <w:szCs w:val="28"/>
        </w:rPr>
        <w:t>ы</w:t>
      </w:r>
      <w:r w:rsidRPr="002F6F32">
        <w:rPr>
          <w:sz w:val="28"/>
          <w:szCs w:val="28"/>
        </w:rPr>
        <w:t xml:space="preserve"> на транспортирование твердых коммунальных отходов</w:t>
      </w:r>
      <w:r w:rsidR="00AB086F" w:rsidRPr="002F6F32">
        <w:rPr>
          <w:sz w:val="28"/>
          <w:szCs w:val="28"/>
        </w:rPr>
        <w:t>;</w:t>
      </w:r>
    </w:p>
    <w:p w14:paraId="1858328D" w14:textId="1A68B24A" w:rsidR="00AB086F" w:rsidRPr="002F6F32" w:rsidRDefault="003F1C57" w:rsidP="004365EF">
      <w:pPr>
        <w:pStyle w:val="formattext"/>
        <w:numPr>
          <w:ilvl w:val="0"/>
          <w:numId w:val="3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расход</w:t>
      </w:r>
      <w:r w:rsidR="00AB086F" w:rsidRPr="002F6F32">
        <w:rPr>
          <w:sz w:val="28"/>
          <w:szCs w:val="28"/>
        </w:rPr>
        <w:t>ы</w:t>
      </w:r>
      <w:r w:rsidRPr="002F6F32">
        <w:rPr>
          <w:sz w:val="28"/>
          <w:szCs w:val="28"/>
        </w:rPr>
        <w:t xml:space="preserve"> на приобретение контейнеров и бункеров для накопления твердых коммунальных отходов и их содержание</w:t>
      </w:r>
      <w:r w:rsidR="00AB086F" w:rsidRPr="002F6F32">
        <w:rPr>
          <w:sz w:val="28"/>
          <w:szCs w:val="28"/>
        </w:rPr>
        <w:t xml:space="preserve"> (1%);</w:t>
      </w:r>
      <w:r w:rsidRPr="002F6F32">
        <w:rPr>
          <w:sz w:val="28"/>
          <w:szCs w:val="28"/>
        </w:rPr>
        <w:t xml:space="preserve"> </w:t>
      </w:r>
    </w:p>
    <w:p w14:paraId="04EA8101" w14:textId="681DBB11" w:rsidR="00AB086F" w:rsidRPr="002F6F32" w:rsidRDefault="00AB086F" w:rsidP="004365EF">
      <w:pPr>
        <w:pStyle w:val="formattext"/>
        <w:numPr>
          <w:ilvl w:val="0"/>
          <w:numId w:val="3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 xml:space="preserve">расходы на </w:t>
      </w:r>
      <w:r w:rsidR="003F1C57" w:rsidRPr="002F6F32">
        <w:rPr>
          <w:sz w:val="28"/>
          <w:szCs w:val="28"/>
        </w:rPr>
        <w:t>уборку мест погрузки твердых коммунальных отходов</w:t>
      </w:r>
      <w:r w:rsidRPr="002F6F32">
        <w:rPr>
          <w:sz w:val="28"/>
          <w:szCs w:val="28"/>
        </w:rPr>
        <w:t>;</w:t>
      </w:r>
    </w:p>
    <w:p w14:paraId="1AD03E87" w14:textId="5F4F4D8A" w:rsidR="003F1C57" w:rsidRPr="002F6F32" w:rsidRDefault="003F1C57" w:rsidP="004365EF">
      <w:pPr>
        <w:pStyle w:val="formattext"/>
        <w:numPr>
          <w:ilvl w:val="0"/>
          <w:numId w:val="3"/>
        </w:numPr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расход</w:t>
      </w:r>
      <w:r w:rsidR="00AB086F" w:rsidRPr="002F6F32">
        <w:rPr>
          <w:sz w:val="28"/>
          <w:szCs w:val="28"/>
        </w:rPr>
        <w:t>ы</w:t>
      </w:r>
      <w:r w:rsidRPr="002F6F32">
        <w:rPr>
          <w:sz w:val="28"/>
          <w:szCs w:val="28"/>
        </w:rPr>
        <w:t>, связанны</w:t>
      </w:r>
      <w:r w:rsidR="00AB086F" w:rsidRPr="002F6F32">
        <w:rPr>
          <w:sz w:val="28"/>
          <w:szCs w:val="28"/>
        </w:rPr>
        <w:t>е</w:t>
      </w:r>
      <w:r w:rsidRPr="002F6F32">
        <w:rPr>
          <w:sz w:val="28"/>
          <w:szCs w:val="28"/>
        </w:rPr>
        <w:t xml:space="preserve"> с предоставлением безотзывной банковской гарантии в обеспечение исполнения обязательств по соглашению об организации деятельности по обращению с </w:t>
      </w:r>
      <w:r w:rsidR="00AB086F" w:rsidRPr="002F6F32">
        <w:rPr>
          <w:sz w:val="28"/>
          <w:szCs w:val="28"/>
        </w:rPr>
        <w:t>ТКО</w:t>
      </w:r>
      <w:r w:rsidRPr="002F6F32">
        <w:rPr>
          <w:sz w:val="28"/>
          <w:szCs w:val="28"/>
        </w:rPr>
        <w:t>, заключенному органом исполнительной власти субъекта Российской Федерации и региональным оператором (</w:t>
      </w:r>
      <w:r w:rsidR="00957356" w:rsidRPr="002F6F32">
        <w:rPr>
          <w:sz w:val="28"/>
          <w:szCs w:val="28"/>
        </w:rPr>
        <w:t>2%</w:t>
      </w:r>
      <w:r w:rsidRPr="002F6F32">
        <w:rPr>
          <w:sz w:val="28"/>
          <w:szCs w:val="28"/>
        </w:rPr>
        <w:t>)</w:t>
      </w:r>
    </w:p>
    <w:p w14:paraId="23C3F010" w14:textId="5F6E66D6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</w:p>
    <w:p w14:paraId="2EDD48C4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В соответствии с пунктом 87 Методиче</w:t>
      </w:r>
      <w:r w:rsidR="005F347C" w:rsidRPr="002F6F32">
        <w:rPr>
          <w:rFonts w:eastAsia="Calibri"/>
        </w:rPr>
        <w:t>ских указаний при определении</w:t>
      </w:r>
      <w:r w:rsidRPr="002F6F32">
        <w:rPr>
          <w:rFonts w:eastAsia="Calibri"/>
        </w:rPr>
        <w:t xml:space="preserve"> </w:t>
      </w:r>
      <w:r w:rsidRPr="002F6F32">
        <w:rPr>
          <w:rFonts w:eastAsia="Calibri"/>
          <w:bCs/>
        </w:rPr>
        <w:t>собственных расходов регионального оператора</w:t>
      </w:r>
      <w:r w:rsidRPr="002F6F32">
        <w:rPr>
          <w:rFonts w:eastAsia="Calibri"/>
        </w:rPr>
        <w:t xml:space="preserve"> должны быть учтены следующие расходы:</w:t>
      </w:r>
    </w:p>
    <w:p w14:paraId="3E1825F3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  <w:bCs/>
        </w:rPr>
        <w:t xml:space="preserve">Расходы регионального оператора, связанные с организацией деятельности, заключением и </w:t>
      </w:r>
      <w:r w:rsidR="00A74395" w:rsidRPr="002F6F32">
        <w:rPr>
          <w:rFonts w:eastAsia="Calibri"/>
          <w:bCs/>
        </w:rPr>
        <w:t>обслуживанием договоров</w:t>
      </w:r>
      <w:r w:rsidR="00A74395" w:rsidRPr="002F6F32">
        <w:rPr>
          <w:rFonts w:eastAsia="Calibri"/>
        </w:rPr>
        <w:t xml:space="preserve"> с собственниками твердых коммунальных отходов,</w:t>
      </w:r>
      <w:r w:rsidRPr="002F6F32">
        <w:rPr>
          <w:rFonts w:eastAsia="Calibri"/>
        </w:rPr>
        <w:t xml:space="preserve"> и операторами по обращению с твердыми коммунальными отходами </w:t>
      </w:r>
      <w:r w:rsidR="00DD643E" w:rsidRPr="002F6F32">
        <w:rPr>
          <w:rFonts w:eastAsia="Calibri"/>
        </w:rPr>
        <w:t>включают следующие статьи расходов:</w:t>
      </w:r>
    </w:p>
    <w:p w14:paraId="3F74AFDF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расходы на приобретение сырья и материалов и их хранение, в т.ч. мебель, оргтехнику, ГСМ, покупка контейнеров;</w:t>
      </w:r>
    </w:p>
    <w:p w14:paraId="7A8BDA9F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оплата труда персонала и отчисления на социальные нужды;</w:t>
      </w:r>
    </w:p>
    <w:p w14:paraId="624EF315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 xml:space="preserve">- оплата производственных расходов (услуги связи, вневедомственной охраны, юридические, информационные и консультационные услуги, обслуживание </w:t>
      </w:r>
      <w:r w:rsidR="00DA4C7B" w:rsidRPr="002F6F32">
        <w:rPr>
          <w:rFonts w:eastAsia="Calibri"/>
        </w:rPr>
        <w:t>контрольно-кассовых машин</w:t>
      </w:r>
      <w:r w:rsidRPr="002F6F32">
        <w:rPr>
          <w:rFonts w:eastAsia="Calibri"/>
        </w:rPr>
        <w:t>, программное обеспечение и др.);</w:t>
      </w:r>
    </w:p>
    <w:p w14:paraId="09D04712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оплата услуг, не относящихся к прямым производственным расходам (командировки, техосмотр, обучение персонала);</w:t>
      </w:r>
    </w:p>
    <w:p w14:paraId="16433A3C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лизинговые платежи (автомобил</w:t>
      </w:r>
      <w:r w:rsidR="00DD643E" w:rsidRPr="002F6F32">
        <w:rPr>
          <w:rFonts w:eastAsia="Calibri"/>
        </w:rPr>
        <w:t>и</w:t>
      </w:r>
      <w:r w:rsidRPr="002F6F32">
        <w:rPr>
          <w:rFonts w:eastAsia="Calibri"/>
        </w:rPr>
        <w:t>);</w:t>
      </w:r>
    </w:p>
    <w:p w14:paraId="2C1DC838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lastRenderedPageBreak/>
        <w:t>- арендная плата;</w:t>
      </w:r>
    </w:p>
    <w:p w14:paraId="0D96DD92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 xml:space="preserve">- другие расходы (охрана труда и техника безопасности, канцтовары). </w:t>
      </w:r>
    </w:p>
    <w:p w14:paraId="6FBED99E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налоги (налог на прибыль, транспортный налог);</w:t>
      </w:r>
    </w:p>
    <w:p w14:paraId="07AF695B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обслуживание банковской гарантии;</w:t>
      </w:r>
    </w:p>
    <w:p w14:paraId="6F696B59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расходы на электроэнергию;</w:t>
      </w:r>
    </w:p>
    <w:p w14:paraId="3A482460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нормативная прибыль (расходы на выплаты социального характера работникам);</w:t>
      </w:r>
    </w:p>
    <w:p w14:paraId="7CA85834" w14:textId="7777777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- расчетная предпринимательская прибыль.</w:t>
      </w:r>
    </w:p>
    <w:p w14:paraId="614CC138" w14:textId="60A7FC3F" w:rsidR="00DD643E" w:rsidRPr="002F6F32" w:rsidRDefault="00E55BEB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</w:rPr>
        <w:t>С учетом прогнозных показателей, предусмотренных прогнозом социально-экономического развития РФ, а также и</w:t>
      </w:r>
      <w:r w:rsidR="00DD643E" w:rsidRPr="002F6F32">
        <w:rPr>
          <w:rFonts w:eastAsia="Calibri"/>
        </w:rPr>
        <w:t>сходя из анализа данных по прочим субъектам РФ</w:t>
      </w:r>
      <w:r w:rsidR="005F347C" w:rsidRPr="002F6F32">
        <w:rPr>
          <w:rFonts w:eastAsia="Calibri"/>
        </w:rPr>
        <w:t>,</w:t>
      </w:r>
      <w:r w:rsidR="00DD643E" w:rsidRPr="002F6F32">
        <w:rPr>
          <w:rFonts w:eastAsia="Calibri"/>
        </w:rPr>
        <w:t xml:space="preserve"> принимаем </w:t>
      </w:r>
      <w:r w:rsidRPr="002F6F32">
        <w:rPr>
          <w:rFonts w:eastAsia="Calibri"/>
        </w:rPr>
        <w:t>расходы регионального оператора, связанные с организацией деятельности, заключением и обслуживанием договоров</w:t>
      </w:r>
      <w:r w:rsidR="005F347C" w:rsidRPr="002F6F32">
        <w:rPr>
          <w:rFonts w:eastAsia="Calibri"/>
        </w:rPr>
        <w:t>,</w:t>
      </w:r>
      <w:r w:rsidRPr="002F6F32">
        <w:rPr>
          <w:rFonts w:eastAsia="Calibri"/>
        </w:rPr>
        <w:t xml:space="preserve"> </w:t>
      </w:r>
      <w:r w:rsidR="00DD643E" w:rsidRPr="002F6F32">
        <w:rPr>
          <w:rFonts w:eastAsia="Calibri"/>
        </w:rPr>
        <w:t xml:space="preserve">в размере </w:t>
      </w:r>
      <w:r w:rsidR="00952AB8" w:rsidRPr="002F6F32">
        <w:rPr>
          <w:rFonts w:eastAsia="Calibri"/>
        </w:rPr>
        <w:t xml:space="preserve">не более </w:t>
      </w:r>
      <w:r w:rsidR="00DD643E" w:rsidRPr="002F6F32">
        <w:rPr>
          <w:rFonts w:eastAsia="Calibri"/>
        </w:rPr>
        <w:t>15%.</w:t>
      </w:r>
    </w:p>
    <w:p w14:paraId="589D64C6" w14:textId="2DC41407" w:rsidR="008A74FF" w:rsidRPr="002F6F32" w:rsidRDefault="008A74FF" w:rsidP="004365EF">
      <w:pPr>
        <w:pStyle w:val="afd"/>
        <w:spacing w:line="276" w:lineRule="auto"/>
        <w:rPr>
          <w:rFonts w:eastAsia="Calibri"/>
        </w:rPr>
      </w:pPr>
      <w:r w:rsidRPr="002F6F32">
        <w:rPr>
          <w:rFonts w:eastAsia="Calibri"/>
          <w:bCs/>
        </w:rPr>
        <w:t xml:space="preserve">К сбытовым расходам, </w:t>
      </w:r>
      <w:r w:rsidRPr="002F6F32">
        <w:rPr>
          <w:rFonts w:eastAsia="Calibri"/>
        </w:rPr>
        <w:t xml:space="preserve">в соответствии с пунктом 89 Методических указаний, относятся расходы по сомнительным долгам в размере фактической дебиторской задолженности, но не более 2 процентов необходимой валовой выручки, установленной для регионального оператора на предыдущий период регулирования, за который имеются подтвержденные бухгалтерской и статистической отчетностью данные. </w:t>
      </w:r>
    </w:p>
    <w:p w14:paraId="36ABABAA" w14:textId="7145945D" w:rsidR="00952AB8" w:rsidRPr="002F6F32" w:rsidRDefault="00952AB8" w:rsidP="003656F3">
      <w:pPr>
        <w:pStyle w:val="formattext"/>
        <w:spacing w:before="0" w:beforeAutospacing="0" w:after="0" w:afterAutospacing="0" w:line="276" w:lineRule="auto"/>
        <w:ind w:firstLine="482"/>
        <w:jc w:val="both"/>
        <w:textAlignment w:val="baseline"/>
        <w:rPr>
          <w:sz w:val="28"/>
          <w:szCs w:val="28"/>
        </w:rPr>
      </w:pPr>
      <w:proofErr w:type="gramStart"/>
      <w:r w:rsidRPr="002F6F32">
        <w:rPr>
          <w:sz w:val="28"/>
          <w:szCs w:val="28"/>
        </w:rPr>
        <w:t xml:space="preserve">В расходы на транспортирование ТКО включаются расходы на транспортирование ТКО, предусмотренных схемой потоков твердых коммунальных отходов, содержащейся в территориальной схеме, в том числе от мест (площадок) накопления </w:t>
      </w:r>
      <w:r w:rsidR="003656F3" w:rsidRPr="002F6F32">
        <w:rPr>
          <w:sz w:val="28"/>
          <w:szCs w:val="28"/>
        </w:rPr>
        <w:t>ТКО</w:t>
      </w:r>
      <w:r w:rsidRPr="002F6F32">
        <w:rPr>
          <w:sz w:val="28"/>
          <w:szCs w:val="28"/>
        </w:rPr>
        <w:t xml:space="preserve">, определенных договором на оказание услуг по обращению с </w:t>
      </w:r>
      <w:r w:rsidR="003656F3" w:rsidRPr="002F6F32">
        <w:rPr>
          <w:sz w:val="28"/>
          <w:szCs w:val="28"/>
        </w:rPr>
        <w:t>ТКО</w:t>
      </w:r>
      <w:r w:rsidRPr="002F6F32">
        <w:rPr>
          <w:sz w:val="28"/>
          <w:szCs w:val="28"/>
        </w:rPr>
        <w:t xml:space="preserve">, до объектов размещения </w:t>
      </w:r>
      <w:r w:rsidR="003656F3" w:rsidRPr="002F6F32">
        <w:rPr>
          <w:sz w:val="28"/>
          <w:szCs w:val="28"/>
        </w:rPr>
        <w:t>ТКО</w:t>
      </w:r>
      <w:r w:rsidRPr="002F6F32">
        <w:rPr>
          <w:sz w:val="28"/>
          <w:szCs w:val="28"/>
        </w:rPr>
        <w:t>, включенных в соответствии с </w:t>
      </w:r>
      <w:hyperlink r:id="rId9" w:anchor="8QQ0M7" w:history="1">
        <w:r w:rsidRPr="002F6F32">
          <w:rPr>
            <w:rStyle w:val="afc"/>
            <w:color w:val="auto"/>
            <w:sz w:val="28"/>
            <w:szCs w:val="28"/>
            <w:u w:val="none"/>
          </w:rPr>
          <w:t xml:space="preserve">пунктом 8 статьи 29_1 Федерального закона </w:t>
        </w:r>
        <w:r w:rsidR="003656F3" w:rsidRPr="002F6F32">
          <w:rPr>
            <w:rStyle w:val="afc"/>
            <w:color w:val="auto"/>
            <w:sz w:val="28"/>
            <w:szCs w:val="28"/>
            <w:u w:val="none"/>
          </w:rPr>
          <w:t xml:space="preserve"> №89-ФЗ </w:t>
        </w:r>
        <w:r w:rsidRPr="002F6F32">
          <w:rPr>
            <w:rStyle w:val="afc"/>
            <w:color w:val="auto"/>
            <w:sz w:val="28"/>
            <w:szCs w:val="28"/>
            <w:u w:val="none"/>
          </w:rPr>
          <w:t>"Об отходах производства и потребления"</w:t>
        </w:r>
      </w:hyperlink>
      <w:r w:rsidRPr="002F6F32">
        <w:rPr>
          <w:sz w:val="28"/>
          <w:szCs w:val="28"/>
        </w:rPr>
        <w:t> в перечень</w:t>
      </w:r>
      <w:proofErr w:type="gramEnd"/>
      <w:r w:rsidRPr="002F6F32">
        <w:rPr>
          <w:sz w:val="28"/>
          <w:szCs w:val="28"/>
        </w:rPr>
        <w:t xml:space="preserve"> объектов размещения</w:t>
      </w:r>
      <w:r w:rsidR="003656F3" w:rsidRPr="002F6F32">
        <w:rPr>
          <w:sz w:val="28"/>
          <w:szCs w:val="28"/>
        </w:rPr>
        <w:t xml:space="preserve"> ТКО</w:t>
      </w:r>
      <w:r w:rsidRPr="002F6F32">
        <w:rPr>
          <w:sz w:val="28"/>
          <w:szCs w:val="28"/>
        </w:rPr>
        <w:t xml:space="preserve"> на территории субъекта Российской Федерации, а также от указанных объектов до объектов, используемых для обработки, обезвреживания, захоронения твердых коммунальных отходов.</w:t>
      </w:r>
    </w:p>
    <w:p w14:paraId="0981A337" w14:textId="24093EE7" w:rsidR="00C27558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Расходы на транспортирование твердых коммунальных отходов, определяются с учетом расстояния транспортирования ТКО в соответствии с территориальной схемой и планируемого количества транспортируемых ТКО как сумма планируемых на очередной период регулирования:</w:t>
      </w:r>
    </w:p>
    <w:p w14:paraId="67B39FA0" w14:textId="6C5F5453" w:rsidR="00C27558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а) расходов на оплату труда и отчисления на социальные нужды основного производственного, ремонтного и административно-управленческого персонала</w:t>
      </w:r>
      <w:r w:rsidR="00AF0E85" w:rsidRPr="002F6F32">
        <w:rPr>
          <w:sz w:val="28"/>
          <w:szCs w:val="28"/>
        </w:rPr>
        <w:t>;</w:t>
      </w:r>
      <w:r w:rsidRPr="002F6F32">
        <w:rPr>
          <w:sz w:val="28"/>
          <w:szCs w:val="28"/>
        </w:rPr>
        <w:t xml:space="preserve"> </w:t>
      </w:r>
    </w:p>
    <w:p w14:paraId="70FFB1EF" w14:textId="743EBAA5" w:rsidR="00C27558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 xml:space="preserve">б) расходов на топливо и горюче-смазочные материалы для транспортных средств, используемых для транспортирования </w:t>
      </w:r>
      <w:r w:rsidR="00AF0E85" w:rsidRPr="002F6F32">
        <w:rPr>
          <w:sz w:val="28"/>
          <w:szCs w:val="28"/>
        </w:rPr>
        <w:t>ТКО</w:t>
      </w:r>
      <w:r w:rsidRPr="002F6F32">
        <w:rPr>
          <w:sz w:val="28"/>
          <w:szCs w:val="28"/>
        </w:rPr>
        <w:t>;</w:t>
      </w:r>
    </w:p>
    <w:p w14:paraId="1C5A24D9" w14:textId="6759643F" w:rsidR="00C27558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 xml:space="preserve">в) расходов на сырье и материалы для текущего технического обслуживания транспортных средств, используемых для транспортирования </w:t>
      </w:r>
      <w:r w:rsidR="00AF0E85" w:rsidRPr="002F6F32">
        <w:rPr>
          <w:sz w:val="28"/>
          <w:szCs w:val="28"/>
        </w:rPr>
        <w:t>ТКО;</w:t>
      </w:r>
    </w:p>
    <w:p w14:paraId="0214FCE9" w14:textId="77777777" w:rsidR="00AF0E85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г) ремонтных расходов и расходов на техническое обслуживание;</w:t>
      </w:r>
    </w:p>
    <w:p w14:paraId="5E07AF29" w14:textId="074AC6EB" w:rsidR="00C27558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д) расходов на амортизацию транспортных средств</w:t>
      </w:r>
      <w:r w:rsidR="00AF0E85" w:rsidRPr="002F6F32">
        <w:rPr>
          <w:sz w:val="28"/>
          <w:szCs w:val="28"/>
        </w:rPr>
        <w:t>;</w:t>
      </w:r>
    </w:p>
    <w:p w14:paraId="67D79FF8" w14:textId="66A4AC6C" w:rsidR="00C27558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lastRenderedPageBreak/>
        <w:t>е) расходов на арендную плату и лизинговые платежи в отношении транспортных средств, используемых для транспортирования твердых коммунальных отходов</w:t>
      </w:r>
      <w:r w:rsidR="00AF0E85" w:rsidRPr="002F6F32">
        <w:rPr>
          <w:sz w:val="28"/>
          <w:szCs w:val="28"/>
        </w:rPr>
        <w:t>;</w:t>
      </w:r>
    </w:p>
    <w:p w14:paraId="5F439F79" w14:textId="58C90FD7" w:rsidR="00E648AF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ж) прочих производственных расходов, размер которых не может превышать 5 процентов суммы расходов, указанных в </w:t>
      </w:r>
      <w:bookmarkStart w:id="0" w:name="_Hlk85733526"/>
      <w:r w:rsidR="00E648AF" w:rsidRPr="002F6F32">
        <w:rPr>
          <w:sz w:val="28"/>
          <w:szCs w:val="28"/>
        </w:rPr>
        <w:t>подпунктах «а</w:t>
      </w:r>
      <w:proofErr w:type="gramStart"/>
      <w:r w:rsidR="00E648AF" w:rsidRPr="002F6F32">
        <w:rPr>
          <w:sz w:val="28"/>
          <w:szCs w:val="28"/>
        </w:rPr>
        <w:t>»-</w:t>
      </w:r>
      <w:proofErr w:type="gramEnd"/>
      <w:r w:rsidR="00E648AF" w:rsidRPr="002F6F32">
        <w:rPr>
          <w:sz w:val="28"/>
          <w:szCs w:val="28"/>
        </w:rPr>
        <w:t>«е» настоящего пункта;</w:t>
      </w:r>
    </w:p>
    <w:bookmarkEnd w:id="0"/>
    <w:p w14:paraId="09523538" w14:textId="77777777" w:rsidR="00E648AF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з) административных расходов;</w:t>
      </w:r>
    </w:p>
    <w:p w14:paraId="316B2825" w14:textId="77777777" w:rsidR="00E648AF" w:rsidRPr="002F6F32" w:rsidRDefault="00C27558" w:rsidP="00C2755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и) расходов, связанных с оплатой налогов, сборов и других обязательных платежей (в том числе с обязательным страхованием гражданской ответственности владельцев транспортных средств, оснащением и обеспечением функционирования аппаратуры спутниковой навигации ГЛОНАСС или ГЛОНАСС/GPS);</w:t>
      </w:r>
    </w:p>
    <w:p w14:paraId="06C501EC" w14:textId="5D26478C" w:rsidR="00E648AF" w:rsidRPr="002F6F32" w:rsidRDefault="00C27558" w:rsidP="00E648AF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2F6F32">
        <w:rPr>
          <w:sz w:val="28"/>
          <w:szCs w:val="28"/>
        </w:rPr>
        <w:t>к) расчетной предпринимательской прибыли организации, осуществляющей транспортирование твердых коммунальных отходов, определяемой в размере 5 процентов суммы расходов, указанных в</w:t>
      </w:r>
      <w:r w:rsidR="00E648AF" w:rsidRPr="002F6F32">
        <w:rPr>
          <w:sz w:val="28"/>
          <w:szCs w:val="28"/>
        </w:rPr>
        <w:t xml:space="preserve"> подпунктах «а</w:t>
      </w:r>
      <w:proofErr w:type="gramStart"/>
      <w:r w:rsidR="00E648AF" w:rsidRPr="002F6F32">
        <w:rPr>
          <w:sz w:val="28"/>
          <w:szCs w:val="28"/>
        </w:rPr>
        <w:t>»-</w:t>
      </w:r>
      <w:proofErr w:type="gramEnd"/>
      <w:r w:rsidR="00E648AF" w:rsidRPr="002F6F32">
        <w:rPr>
          <w:sz w:val="28"/>
          <w:szCs w:val="28"/>
        </w:rPr>
        <w:t>«з» настоящего пункта</w:t>
      </w:r>
      <w:r w:rsidR="005B46D5" w:rsidRPr="002F6F32">
        <w:rPr>
          <w:sz w:val="28"/>
          <w:szCs w:val="28"/>
        </w:rPr>
        <w:t>.</w:t>
      </w:r>
    </w:p>
    <w:p w14:paraId="738D1B1B" w14:textId="77777777" w:rsidR="005B46D5" w:rsidRPr="002F6F32" w:rsidRDefault="005B46D5" w:rsidP="005B46D5">
      <w:pPr>
        <w:pStyle w:val="afd"/>
        <w:spacing w:line="276" w:lineRule="auto"/>
      </w:pPr>
      <w:r w:rsidRPr="002F6F32">
        <w:t>Для расчета средних предельных тарифов по каждой схеме потоков производился расчет:</w:t>
      </w:r>
    </w:p>
    <w:p w14:paraId="0755C715" w14:textId="3C2D3DFC" w:rsidR="005B46D5" w:rsidRPr="002F6F32" w:rsidRDefault="005B46D5" w:rsidP="005B46D5">
      <w:pPr>
        <w:pStyle w:val="afd"/>
        <w:spacing w:line="276" w:lineRule="auto"/>
      </w:pPr>
      <w:r w:rsidRPr="002F6F32">
        <w:t xml:space="preserve">- транспортного плеча для каждого населенного пункта </w:t>
      </w:r>
      <w:r w:rsidR="0024428C">
        <w:t>Камчатского края</w:t>
      </w:r>
      <w:r w:rsidRPr="002F6F32">
        <w:t xml:space="preserve">; </w:t>
      </w:r>
    </w:p>
    <w:p w14:paraId="00C3363E" w14:textId="14FC76C6" w:rsidR="005B46D5" w:rsidRPr="002F6F32" w:rsidRDefault="005B46D5" w:rsidP="005B46D5">
      <w:pPr>
        <w:pStyle w:val="afd"/>
        <w:spacing w:line="276" w:lineRule="auto"/>
      </w:pPr>
      <w:r w:rsidRPr="002F6F32">
        <w:t xml:space="preserve">- среднего транспортного плеча для каждого муниципального образования </w:t>
      </w:r>
      <w:r w:rsidR="0024428C">
        <w:t>Камчатского края</w:t>
      </w:r>
      <w:r w:rsidRPr="002F6F32">
        <w:t>, в соотношении с количеством отходов, производимым в каждом населенном пункте;</w:t>
      </w:r>
    </w:p>
    <w:p w14:paraId="5C04922F" w14:textId="77777777" w:rsidR="005B46D5" w:rsidRPr="002F6F32" w:rsidRDefault="005B46D5" w:rsidP="005B46D5">
      <w:pPr>
        <w:pStyle w:val="afd"/>
        <w:spacing w:line="276" w:lineRule="auto"/>
      </w:pPr>
      <w:r w:rsidRPr="002F6F32">
        <w:t xml:space="preserve">- среднего тарифа захоронения, учитывающего объем отходов, размещаемый на каждом задействованном в схеме потоков объекте захоронения отходов. </w:t>
      </w:r>
    </w:p>
    <w:p w14:paraId="3668EE9E" w14:textId="460C7F2A" w:rsidR="005B46D5" w:rsidRPr="002F6F32" w:rsidRDefault="005B46D5" w:rsidP="005B46D5">
      <w:pPr>
        <w:pStyle w:val="afd"/>
        <w:spacing w:line="276" w:lineRule="auto"/>
        <w:rPr>
          <w:szCs w:val="28"/>
        </w:rPr>
      </w:pPr>
      <w:r w:rsidRPr="002F6F32">
        <w:rPr>
          <w:szCs w:val="28"/>
        </w:rPr>
        <w:t>Расчет предельных тарифов регионального оператора представлен в приложени</w:t>
      </w:r>
      <w:r w:rsidR="0024428C">
        <w:rPr>
          <w:szCs w:val="28"/>
        </w:rPr>
        <w:t>и</w:t>
      </w:r>
      <w:r w:rsidRPr="002F6F32">
        <w:rPr>
          <w:szCs w:val="28"/>
        </w:rPr>
        <w:t xml:space="preserve"> 12.</w:t>
      </w:r>
      <w:r w:rsidR="00724081">
        <w:rPr>
          <w:szCs w:val="28"/>
        </w:rPr>
        <w:t>3-12.4</w:t>
      </w:r>
      <w:r w:rsidRPr="002F6F32">
        <w:rPr>
          <w:szCs w:val="28"/>
        </w:rPr>
        <w:t>.</w:t>
      </w:r>
    </w:p>
    <w:p w14:paraId="7296E4A9" w14:textId="118982A3" w:rsidR="005B46D5" w:rsidRPr="002F6F32" w:rsidRDefault="005B46D5" w:rsidP="005B46D5">
      <w:pPr>
        <w:pStyle w:val="afd"/>
        <w:spacing w:line="276" w:lineRule="auto"/>
        <w:rPr>
          <w:szCs w:val="28"/>
        </w:rPr>
      </w:pPr>
      <w:r w:rsidRPr="002F6F32">
        <w:rPr>
          <w:szCs w:val="28"/>
        </w:rPr>
        <w:t>Транспортные плечи для перспективной схемы потоков представлены в приложении 12.1</w:t>
      </w:r>
      <w:r w:rsidR="00724081">
        <w:rPr>
          <w:szCs w:val="28"/>
        </w:rPr>
        <w:t>-12.2</w:t>
      </w:r>
      <w:r w:rsidRPr="002F6F32">
        <w:rPr>
          <w:szCs w:val="28"/>
        </w:rPr>
        <w:t>.</w:t>
      </w:r>
    </w:p>
    <w:p w14:paraId="1EA2BEC8" w14:textId="687758A7" w:rsidR="005B46D5" w:rsidRPr="002F6F32" w:rsidRDefault="005B46D5" w:rsidP="005B46D5">
      <w:pPr>
        <w:pStyle w:val="afd"/>
        <w:spacing w:line="276" w:lineRule="auto"/>
        <w:rPr>
          <w:b/>
          <w:szCs w:val="28"/>
        </w:rPr>
      </w:pPr>
      <w:r w:rsidRPr="002F6F32">
        <w:rPr>
          <w:b/>
          <w:szCs w:val="28"/>
        </w:rPr>
        <w:t>Результаты расчета среднего предельного тарифа для перспективной схемы потоков</w:t>
      </w:r>
      <w:r w:rsidR="00724081">
        <w:rPr>
          <w:b/>
          <w:szCs w:val="28"/>
        </w:rPr>
        <w:t xml:space="preserve"> Вариант 1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7"/>
        <w:gridCol w:w="3686"/>
      </w:tblGrid>
      <w:tr w:rsidR="0024428C" w:rsidRPr="00E12D52" w14:paraId="35261992" w14:textId="77777777" w:rsidTr="0024428C">
        <w:trPr>
          <w:trHeight w:val="735"/>
        </w:trPr>
        <w:tc>
          <w:tcPr>
            <w:tcW w:w="5827" w:type="dxa"/>
            <w:shd w:val="clear" w:color="auto" w:fill="auto"/>
            <w:vAlign w:val="center"/>
            <w:hideMark/>
          </w:tcPr>
          <w:p w14:paraId="647DD306" w14:textId="77777777" w:rsidR="0024428C" w:rsidRPr="00E12D52" w:rsidRDefault="0024428C" w:rsidP="0066649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Средний тариф на транспортирование, захоронение, обработку, НВОС 1 куб. м ТКО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4A157B40" w14:textId="2749A4A2" w:rsidR="0024428C" w:rsidRPr="0024428C" w:rsidRDefault="0024428C" w:rsidP="00244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2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820,9</w:t>
            </w:r>
          </w:p>
        </w:tc>
      </w:tr>
      <w:tr w:rsidR="0024428C" w:rsidRPr="00E12D52" w14:paraId="11039269" w14:textId="77777777" w:rsidTr="0024428C">
        <w:trPr>
          <w:trHeight w:val="402"/>
        </w:trPr>
        <w:tc>
          <w:tcPr>
            <w:tcW w:w="5827" w:type="dxa"/>
            <w:shd w:val="clear" w:color="auto" w:fill="auto"/>
            <w:noWrap/>
            <w:vAlign w:val="center"/>
            <w:hideMark/>
          </w:tcPr>
          <w:p w14:paraId="11AFCF48" w14:textId="185938C9" w:rsidR="0024428C" w:rsidRPr="00E12D52" w:rsidRDefault="0024428C" w:rsidP="0066649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Собственные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оператора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 17%</w:t>
            </w:r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+1%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20AFBD72" w14:textId="666980F6" w:rsidR="0024428C" w:rsidRPr="0024428C" w:rsidRDefault="0024428C" w:rsidP="00244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42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180,</w:t>
            </w:r>
            <w:r w:rsidRPr="0024428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</w:tr>
      <w:tr w:rsidR="0024428C" w:rsidRPr="00E12D52" w14:paraId="02848D0F" w14:textId="77777777" w:rsidTr="0024428C">
        <w:trPr>
          <w:trHeight w:val="402"/>
        </w:trPr>
        <w:tc>
          <w:tcPr>
            <w:tcW w:w="5827" w:type="dxa"/>
            <w:shd w:val="clear" w:color="auto" w:fill="auto"/>
            <w:noWrap/>
            <w:vAlign w:val="center"/>
            <w:hideMark/>
          </w:tcPr>
          <w:p w14:paraId="5114915F" w14:textId="77777777" w:rsidR="0024428C" w:rsidRPr="00E12D52" w:rsidRDefault="0024428C" w:rsidP="0066649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Предельный тариф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куб</w:t>
            </w:r>
            <w:proofErr w:type="gram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D19D171" w14:textId="5125447A" w:rsidR="0024428C" w:rsidRPr="0024428C" w:rsidRDefault="0024428C" w:rsidP="00244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2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1001,1</w:t>
            </w:r>
          </w:p>
        </w:tc>
      </w:tr>
      <w:tr w:rsidR="0024428C" w:rsidRPr="00E12D52" w14:paraId="2654418D" w14:textId="77777777" w:rsidTr="0024428C">
        <w:trPr>
          <w:trHeight w:val="402"/>
        </w:trPr>
        <w:tc>
          <w:tcPr>
            <w:tcW w:w="5827" w:type="dxa"/>
            <w:shd w:val="clear" w:color="auto" w:fill="auto"/>
            <w:noWrap/>
            <w:vAlign w:val="center"/>
          </w:tcPr>
          <w:p w14:paraId="322423FC" w14:textId="77777777" w:rsidR="0024428C" w:rsidRPr="00E12D52" w:rsidRDefault="0024428C" w:rsidP="0066649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Предельный тариф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/тонна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F85427B" w14:textId="08ED7FB1" w:rsidR="0024428C" w:rsidRPr="0024428C" w:rsidRDefault="0024428C" w:rsidP="00244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2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8630,2</w:t>
            </w:r>
          </w:p>
        </w:tc>
      </w:tr>
    </w:tbl>
    <w:p w14:paraId="31F5131E" w14:textId="7CA9764A" w:rsidR="00724081" w:rsidRPr="002F6F32" w:rsidRDefault="00724081" w:rsidP="00724081">
      <w:pPr>
        <w:pStyle w:val="afd"/>
        <w:spacing w:line="276" w:lineRule="auto"/>
        <w:rPr>
          <w:b/>
          <w:szCs w:val="28"/>
        </w:rPr>
      </w:pPr>
      <w:r w:rsidRPr="002F6F32">
        <w:rPr>
          <w:b/>
          <w:szCs w:val="28"/>
        </w:rPr>
        <w:t>Результаты расчета среднего предельного тарифа для перспективной схемы потоков</w:t>
      </w:r>
      <w:r>
        <w:rPr>
          <w:b/>
          <w:szCs w:val="28"/>
        </w:rPr>
        <w:t xml:space="preserve"> Вариант 2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7"/>
        <w:gridCol w:w="3686"/>
      </w:tblGrid>
      <w:tr w:rsidR="00BA0669" w:rsidRPr="00E12D52" w14:paraId="1A445807" w14:textId="77777777" w:rsidTr="00C336D4">
        <w:trPr>
          <w:trHeight w:val="735"/>
        </w:trPr>
        <w:tc>
          <w:tcPr>
            <w:tcW w:w="5827" w:type="dxa"/>
            <w:shd w:val="clear" w:color="auto" w:fill="auto"/>
            <w:vAlign w:val="center"/>
            <w:hideMark/>
          </w:tcPr>
          <w:p w14:paraId="21EB2C09" w14:textId="77777777" w:rsidR="00BA0669" w:rsidRPr="00E12D52" w:rsidRDefault="00BA0669" w:rsidP="009066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" w:name="_GoBack" w:colFirst="1" w:colLast="1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Средний тариф на транспортирование, захоронение, обработку, НВОС 1 куб. м ТКО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6050958" w14:textId="3A4B2E8B" w:rsidR="00BA0669" w:rsidRPr="00BA0669" w:rsidRDefault="00BA0669" w:rsidP="009066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1037,1</w:t>
            </w:r>
          </w:p>
        </w:tc>
      </w:tr>
      <w:tr w:rsidR="00BA0669" w:rsidRPr="00E12D52" w14:paraId="755C0695" w14:textId="77777777" w:rsidTr="00C336D4">
        <w:trPr>
          <w:trHeight w:val="402"/>
        </w:trPr>
        <w:tc>
          <w:tcPr>
            <w:tcW w:w="5827" w:type="dxa"/>
            <w:shd w:val="clear" w:color="auto" w:fill="auto"/>
            <w:noWrap/>
            <w:vAlign w:val="center"/>
            <w:hideMark/>
          </w:tcPr>
          <w:p w14:paraId="4AF1BCF7" w14:textId="77777777" w:rsidR="00BA0669" w:rsidRPr="00E12D52" w:rsidRDefault="00BA0669" w:rsidP="009066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Собственные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>оператора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</w:rPr>
              <w:t xml:space="preserve"> 17%</w:t>
            </w:r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+1%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36EB20F4" w14:textId="266EB7D7" w:rsidR="00BA0669" w:rsidRPr="00BA0669" w:rsidRDefault="00BA0669" w:rsidP="00BA0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6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227,6</w:t>
            </w:r>
            <w:r w:rsidRPr="00BA066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</w:tr>
      <w:tr w:rsidR="00BA0669" w:rsidRPr="00E12D52" w14:paraId="450A3D75" w14:textId="77777777" w:rsidTr="00C336D4">
        <w:trPr>
          <w:trHeight w:val="402"/>
        </w:trPr>
        <w:tc>
          <w:tcPr>
            <w:tcW w:w="5827" w:type="dxa"/>
            <w:shd w:val="clear" w:color="auto" w:fill="auto"/>
            <w:noWrap/>
            <w:vAlign w:val="center"/>
            <w:hideMark/>
          </w:tcPr>
          <w:p w14:paraId="66756914" w14:textId="77777777" w:rsidR="00BA0669" w:rsidRPr="00E12D52" w:rsidRDefault="00BA0669" w:rsidP="009066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Предельный тариф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куб</w:t>
            </w:r>
            <w:proofErr w:type="gram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14D1422" w14:textId="0BF82B33" w:rsidR="00BA0669" w:rsidRPr="00BA0669" w:rsidRDefault="00BA0669" w:rsidP="009066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1264,8</w:t>
            </w:r>
          </w:p>
        </w:tc>
      </w:tr>
      <w:tr w:rsidR="00BA0669" w:rsidRPr="00E12D52" w14:paraId="6003F639" w14:textId="77777777" w:rsidTr="00C336D4">
        <w:trPr>
          <w:trHeight w:val="402"/>
        </w:trPr>
        <w:tc>
          <w:tcPr>
            <w:tcW w:w="5827" w:type="dxa"/>
            <w:shd w:val="clear" w:color="auto" w:fill="auto"/>
            <w:noWrap/>
            <w:vAlign w:val="center"/>
          </w:tcPr>
          <w:p w14:paraId="34E49AEE" w14:textId="77777777" w:rsidR="00BA0669" w:rsidRPr="00E12D52" w:rsidRDefault="00BA0669" w:rsidP="009066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Предельный тариф </w:t>
            </w:r>
            <w:proofErr w:type="spellStart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</w:t>
            </w:r>
            <w:proofErr w:type="spellEnd"/>
            <w:r w:rsidRPr="00E12D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/тонна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411865BE" w14:textId="2A39261B" w:rsidR="00BA0669" w:rsidRPr="00BA0669" w:rsidRDefault="00BA0669" w:rsidP="009066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10903,1</w:t>
            </w:r>
          </w:p>
        </w:tc>
      </w:tr>
      <w:bookmarkEnd w:id="1"/>
    </w:tbl>
    <w:p w14:paraId="7CDA3444" w14:textId="77777777" w:rsidR="00241670" w:rsidRPr="002F6F32" w:rsidRDefault="00241670" w:rsidP="00724081">
      <w:pPr>
        <w:pStyle w:val="afd"/>
        <w:spacing w:line="276" w:lineRule="auto"/>
        <w:ind w:firstLine="0"/>
        <w:rPr>
          <w:b/>
        </w:rPr>
      </w:pPr>
    </w:p>
    <w:sectPr w:rsidR="00241670" w:rsidRPr="002F6F32" w:rsidSect="00144D62">
      <w:foot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3A9C1" w14:textId="77777777" w:rsidR="008F68CF" w:rsidRDefault="008F68CF" w:rsidP="00632E3F">
      <w:pPr>
        <w:spacing w:after="0" w:line="240" w:lineRule="auto"/>
      </w:pPr>
      <w:r>
        <w:separator/>
      </w:r>
    </w:p>
  </w:endnote>
  <w:endnote w:type="continuationSeparator" w:id="0">
    <w:p w14:paraId="3711C26E" w14:textId="77777777" w:rsidR="008F68CF" w:rsidRDefault="008F68CF" w:rsidP="00632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96379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F24A80" w14:textId="031F9AD4" w:rsidR="00632E3F" w:rsidRPr="00850206" w:rsidRDefault="00DA0A8F">
        <w:pPr>
          <w:pStyle w:val="af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02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2E3F" w:rsidRPr="008502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502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0669" w:rsidRPr="00BA066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8502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E20F535" w14:textId="77777777" w:rsidR="00632E3F" w:rsidRDefault="00632E3F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C4111" w14:textId="77777777" w:rsidR="008F68CF" w:rsidRDefault="008F68CF" w:rsidP="00632E3F">
      <w:pPr>
        <w:spacing w:after="0" w:line="240" w:lineRule="auto"/>
      </w:pPr>
      <w:r>
        <w:separator/>
      </w:r>
    </w:p>
  </w:footnote>
  <w:footnote w:type="continuationSeparator" w:id="0">
    <w:p w14:paraId="62C77FF1" w14:textId="77777777" w:rsidR="008F68CF" w:rsidRDefault="008F68CF" w:rsidP="00632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39AF"/>
    <w:multiLevelType w:val="hybridMultilevel"/>
    <w:tmpl w:val="44306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0212D"/>
    <w:multiLevelType w:val="hybridMultilevel"/>
    <w:tmpl w:val="D4762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31644CE"/>
    <w:multiLevelType w:val="hybridMultilevel"/>
    <w:tmpl w:val="AD064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0"/>
    <w:rsid w:val="000177C6"/>
    <w:rsid w:val="00053CD2"/>
    <w:rsid w:val="000608EA"/>
    <w:rsid w:val="0007709E"/>
    <w:rsid w:val="0009619B"/>
    <w:rsid w:val="000C1322"/>
    <w:rsid w:val="000C6C39"/>
    <w:rsid w:val="00101520"/>
    <w:rsid w:val="0010639C"/>
    <w:rsid w:val="00117028"/>
    <w:rsid w:val="00124872"/>
    <w:rsid w:val="00144D62"/>
    <w:rsid w:val="00152031"/>
    <w:rsid w:val="00153C69"/>
    <w:rsid w:val="00176D1A"/>
    <w:rsid w:val="00192923"/>
    <w:rsid w:val="001E03CF"/>
    <w:rsid w:val="001E1597"/>
    <w:rsid w:val="001E2A91"/>
    <w:rsid w:val="0020389B"/>
    <w:rsid w:val="002260DD"/>
    <w:rsid w:val="00227787"/>
    <w:rsid w:val="00241670"/>
    <w:rsid w:val="0024428C"/>
    <w:rsid w:val="0024637A"/>
    <w:rsid w:val="002A1B63"/>
    <w:rsid w:val="002A4FAD"/>
    <w:rsid w:val="002A71D2"/>
    <w:rsid w:val="002F1794"/>
    <w:rsid w:val="002F6F32"/>
    <w:rsid w:val="002F7A28"/>
    <w:rsid w:val="00303459"/>
    <w:rsid w:val="0031261D"/>
    <w:rsid w:val="00363096"/>
    <w:rsid w:val="003656F3"/>
    <w:rsid w:val="00370830"/>
    <w:rsid w:val="003B1E94"/>
    <w:rsid w:val="003E0771"/>
    <w:rsid w:val="003F1C57"/>
    <w:rsid w:val="00415CC6"/>
    <w:rsid w:val="00417BE9"/>
    <w:rsid w:val="004365EF"/>
    <w:rsid w:val="004443CC"/>
    <w:rsid w:val="00455FAF"/>
    <w:rsid w:val="004C6796"/>
    <w:rsid w:val="004F7CC8"/>
    <w:rsid w:val="00504642"/>
    <w:rsid w:val="005057A0"/>
    <w:rsid w:val="00521754"/>
    <w:rsid w:val="0052646F"/>
    <w:rsid w:val="00545B15"/>
    <w:rsid w:val="0054612A"/>
    <w:rsid w:val="005552CD"/>
    <w:rsid w:val="00563586"/>
    <w:rsid w:val="005B46D5"/>
    <w:rsid w:val="005C0083"/>
    <w:rsid w:val="005D3B36"/>
    <w:rsid w:val="005D631D"/>
    <w:rsid w:val="005F347C"/>
    <w:rsid w:val="00612B85"/>
    <w:rsid w:val="00625D57"/>
    <w:rsid w:val="00632E3F"/>
    <w:rsid w:val="00660667"/>
    <w:rsid w:val="006658DE"/>
    <w:rsid w:val="0067159B"/>
    <w:rsid w:val="006B4FF4"/>
    <w:rsid w:val="006E6A8B"/>
    <w:rsid w:val="006F1FBD"/>
    <w:rsid w:val="00724081"/>
    <w:rsid w:val="00747F37"/>
    <w:rsid w:val="00760436"/>
    <w:rsid w:val="00775E6C"/>
    <w:rsid w:val="00792711"/>
    <w:rsid w:val="007961AF"/>
    <w:rsid w:val="007B21C7"/>
    <w:rsid w:val="007C504F"/>
    <w:rsid w:val="00850206"/>
    <w:rsid w:val="00862A2B"/>
    <w:rsid w:val="00876EC9"/>
    <w:rsid w:val="00887C14"/>
    <w:rsid w:val="008A74FF"/>
    <w:rsid w:val="008F68CF"/>
    <w:rsid w:val="00952AB8"/>
    <w:rsid w:val="00953C40"/>
    <w:rsid w:val="00957356"/>
    <w:rsid w:val="009866C3"/>
    <w:rsid w:val="009875BC"/>
    <w:rsid w:val="009E3317"/>
    <w:rsid w:val="009F5674"/>
    <w:rsid w:val="00A33A38"/>
    <w:rsid w:val="00A53A58"/>
    <w:rsid w:val="00A73A20"/>
    <w:rsid w:val="00A74395"/>
    <w:rsid w:val="00A8447A"/>
    <w:rsid w:val="00A9594E"/>
    <w:rsid w:val="00AB086F"/>
    <w:rsid w:val="00AB1808"/>
    <w:rsid w:val="00AE59C1"/>
    <w:rsid w:val="00AF0E85"/>
    <w:rsid w:val="00AF74F1"/>
    <w:rsid w:val="00B023D3"/>
    <w:rsid w:val="00B500A2"/>
    <w:rsid w:val="00B55212"/>
    <w:rsid w:val="00B73A39"/>
    <w:rsid w:val="00BA0669"/>
    <w:rsid w:val="00BF0467"/>
    <w:rsid w:val="00BF52DC"/>
    <w:rsid w:val="00C0015D"/>
    <w:rsid w:val="00C27558"/>
    <w:rsid w:val="00C27E5D"/>
    <w:rsid w:val="00C41E62"/>
    <w:rsid w:val="00C55AED"/>
    <w:rsid w:val="00C61BF0"/>
    <w:rsid w:val="00C635F3"/>
    <w:rsid w:val="00C95F34"/>
    <w:rsid w:val="00CD3462"/>
    <w:rsid w:val="00D14E5C"/>
    <w:rsid w:val="00D212A3"/>
    <w:rsid w:val="00D5422F"/>
    <w:rsid w:val="00D7397A"/>
    <w:rsid w:val="00D960C4"/>
    <w:rsid w:val="00DA0A8F"/>
    <w:rsid w:val="00DA4C7B"/>
    <w:rsid w:val="00DC60C4"/>
    <w:rsid w:val="00DD643E"/>
    <w:rsid w:val="00DE24C5"/>
    <w:rsid w:val="00E0302A"/>
    <w:rsid w:val="00E047E6"/>
    <w:rsid w:val="00E12D52"/>
    <w:rsid w:val="00E17219"/>
    <w:rsid w:val="00E410D9"/>
    <w:rsid w:val="00E429C6"/>
    <w:rsid w:val="00E42A6D"/>
    <w:rsid w:val="00E55BEB"/>
    <w:rsid w:val="00E648AF"/>
    <w:rsid w:val="00E8129E"/>
    <w:rsid w:val="00EB22AA"/>
    <w:rsid w:val="00ED3830"/>
    <w:rsid w:val="00EE5CF4"/>
    <w:rsid w:val="00EE64A9"/>
    <w:rsid w:val="00EF64C7"/>
    <w:rsid w:val="00F1342F"/>
    <w:rsid w:val="00F545BE"/>
    <w:rsid w:val="00FA1553"/>
    <w:rsid w:val="00FB266A"/>
    <w:rsid w:val="00FB2749"/>
    <w:rsid w:val="00FC08A4"/>
    <w:rsid w:val="00FC73D4"/>
    <w:rsid w:val="00FD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5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A0"/>
  </w:style>
  <w:style w:type="paragraph" w:styleId="1">
    <w:name w:val="heading 1"/>
    <w:basedOn w:val="a"/>
    <w:next w:val="a"/>
    <w:link w:val="10"/>
    <w:uiPriority w:val="9"/>
    <w:qFormat/>
    <w:rsid w:val="00521754"/>
    <w:pPr>
      <w:spacing w:before="600" w:after="120"/>
      <w:contextualSpacing/>
      <w:jc w:val="both"/>
      <w:outlineLvl w:val="0"/>
    </w:pPr>
    <w:rPr>
      <w:rFonts w:ascii="Times New Roman" w:hAnsi="Times New Roman"/>
      <w:b/>
      <w:spacing w:val="5"/>
      <w:sz w:val="28"/>
      <w:szCs w:val="36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3A2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3A2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3A2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3A2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3A2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3A2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3A2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3A2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3A20"/>
    <w:rPr>
      <w:smallCap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21754"/>
    <w:rPr>
      <w:rFonts w:ascii="Times New Roman" w:hAnsi="Times New Roman"/>
      <w:b/>
      <w:spacing w:val="5"/>
      <w:sz w:val="28"/>
      <w:szCs w:val="3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A73A2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3A2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73A2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73A2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73A2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73A2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73A2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73A2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73A2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73A2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3A2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A73A20"/>
    <w:rPr>
      <w:b/>
      <w:bCs/>
    </w:rPr>
  </w:style>
  <w:style w:type="character" w:styleId="a8">
    <w:name w:val="Emphasis"/>
    <w:uiPriority w:val="20"/>
    <w:qFormat/>
    <w:rsid w:val="00A73A2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A73A2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7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3A2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73A2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73A2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A73A20"/>
    <w:rPr>
      <w:i/>
      <w:iCs/>
    </w:rPr>
  </w:style>
  <w:style w:type="character" w:styleId="ad">
    <w:name w:val="Subtle Emphasis"/>
    <w:uiPriority w:val="19"/>
    <w:qFormat/>
    <w:rsid w:val="00A73A20"/>
    <w:rPr>
      <w:i/>
      <w:iCs/>
    </w:rPr>
  </w:style>
  <w:style w:type="character" w:styleId="ae">
    <w:name w:val="Intense Emphasis"/>
    <w:uiPriority w:val="21"/>
    <w:qFormat/>
    <w:rsid w:val="00A73A2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73A20"/>
    <w:rPr>
      <w:smallCaps/>
    </w:rPr>
  </w:style>
  <w:style w:type="character" w:styleId="af0">
    <w:name w:val="Intense Reference"/>
    <w:uiPriority w:val="32"/>
    <w:qFormat/>
    <w:rsid w:val="00A73A20"/>
    <w:rPr>
      <w:b/>
      <w:bCs/>
      <w:smallCaps/>
    </w:rPr>
  </w:style>
  <w:style w:type="character" w:styleId="af1">
    <w:name w:val="Book Title"/>
    <w:basedOn w:val="a0"/>
    <w:uiPriority w:val="33"/>
    <w:qFormat/>
    <w:rsid w:val="00A73A2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unhideWhenUsed/>
    <w:qFormat/>
    <w:rsid w:val="00A73A20"/>
    <w:pPr>
      <w:outlineLvl w:val="9"/>
    </w:pPr>
  </w:style>
  <w:style w:type="paragraph" w:customStyle="1" w:styleId="-11">
    <w:name w:val="Цветной список - Акцент 11"/>
    <w:basedOn w:val="a"/>
    <w:uiPriority w:val="34"/>
    <w:qFormat/>
    <w:rsid w:val="008A74FF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paragraph" w:styleId="af3">
    <w:name w:val="Balloon Text"/>
    <w:basedOn w:val="a"/>
    <w:link w:val="af4"/>
    <w:uiPriority w:val="99"/>
    <w:semiHidden/>
    <w:unhideWhenUsed/>
    <w:rsid w:val="008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74FF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227787"/>
    <w:pPr>
      <w:spacing w:after="0" w:line="240" w:lineRule="auto"/>
    </w:pPr>
    <w:rPr>
      <w:rFonts w:asciiTheme="minorHAnsi" w:hAnsiTheme="minorHAnsi" w:cstheme="minorBid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632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632E3F"/>
  </w:style>
  <w:style w:type="paragraph" w:styleId="af8">
    <w:name w:val="footer"/>
    <w:basedOn w:val="a"/>
    <w:link w:val="af9"/>
    <w:uiPriority w:val="99"/>
    <w:unhideWhenUsed/>
    <w:rsid w:val="00632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632E3F"/>
  </w:style>
  <w:style w:type="paragraph" w:customStyle="1" w:styleId="afa">
    <w:name w:val="Таблица"/>
    <w:basedOn w:val="a"/>
    <w:link w:val="afb"/>
    <w:qFormat/>
    <w:rsid w:val="005F347C"/>
    <w:pPr>
      <w:spacing w:line="360" w:lineRule="auto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fb">
    <w:name w:val="Таблица Знак"/>
    <w:basedOn w:val="a0"/>
    <w:link w:val="afa"/>
    <w:rsid w:val="005F347C"/>
    <w:rPr>
      <w:rFonts w:ascii="Times New Roman" w:hAnsi="Times New Roman" w:cs="Times New Roman"/>
      <w:sz w:val="24"/>
      <w:szCs w:val="24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521754"/>
    <w:pPr>
      <w:spacing w:after="100"/>
    </w:pPr>
  </w:style>
  <w:style w:type="character" w:styleId="afc">
    <w:name w:val="Hyperlink"/>
    <w:basedOn w:val="a0"/>
    <w:uiPriority w:val="99"/>
    <w:unhideWhenUsed/>
    <w:rsid w:val="00521754"/>
    <w:rPr>
      <w:color w:val="0000FF" w:themeColor="hyperlink"/>
      <w:u w:val="single"/>
    </w:rPr>
  </w:style>
  <w:style w:type="paragraph" w:customStyle="1" w:styleId="afd">
    <w:name w:val="_Абзац"/>
    <w:basedOn w:val="a"/>
    <w:link w:val="afe"/>
    <w:qFormat/>
    <w:rsid w:val="00A74395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6"/>
      <w:lang w:val="ru-RU" w:bidi="ar-SA"/>
    </w:rPr>
  </w:style>
  <w:style w:type="character" w:customStyle="1" w:styleId="afe">
    <w:name w:val="_Абзац Знак"/>
    <w:basedOn w:val="a0"/>
    <w:link w:val="afd"/>
    <w:rsid w:val="00A74395"/>
    <w:rPr>
      <w:rFonts w:ascii="Times New Roman" w:hAnsi="Times New Roman" w:cs="Times New Roman"/>
      <w:sz w:val="28"/>
      <w:szCs w:val="26"/>
      <w:lang w:val="ru-RU" w:bidi="ar-SA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98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formattext">
    <w:name w:val="formattext"/>
    <w:basedOn w:val="a"/>
    <w:rsid w:val="003F1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A0"/>
  </w:style>
  <w:style w:type="paragraph" w:styleId="1">
    <w:name w:val="heading 1"/>
    <w:basedOn w:val="a"/>
    <w:next w:val="a"/>
    <w:link w:val="10"/>
    <w:uiPriority w:val="9"/>
    <w:qFormat/>
    <w:rsid w:val="00521754"/>
    <w:pPr>
      <w:spacing w:before="600" w:after="120"/>
      <w:contextualSpacing/>
      <w:jc w:val="both"/>
      <w:outlineLvl w:val="0"/>
    </w:pPr>
    <w:rPr>
      <w:rFonts w:ascii="Times New Roman" w:hAnsi="Times New Roman"/>
      <w:b/>
      <w:spacing w:val="5"/>
      <w:sz w:val="28"/>
      <w:szCs w:val="36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3A2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3A2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3A2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3A2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3A2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3A2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3A2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3A2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3A20"/>
    <w:rPr>
      <w:smallCap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21754"/>
    <w:rPr>
      <w:rFonts w:ascii="Times New Roman" w:hAnsi="Times New Roman"/>
      <w:b/>
      <w:spacing w:val="5"/>
      <w:sz w:val="28"/>
      <w:szCs w:val="3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A73A2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3A2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73A2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73A2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73A2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73A2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73A2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73A2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73A2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73A2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3A2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A73A20"/>
    <w:rPr>
      <w:b/>
      <w:bCs/>
    </w:rPr>
  </w:style>
  <w:style w:type="character" w:styleId="a8">
    <w:name w:val="Emphasis"/>
    <w:uiPriority w:val="20"/>
    <w:qFormat/>
    <w:rsid w:val="00A73A2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A73A2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7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3A2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73A2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73A2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A73A20"/>
    <w:rPr>
      <w:i/>
      <w:iCs/>
    </w:rPr>
  </w:style>
  <w:style w:type="character" w:styleId="ad">
    <w:name w:val="Subtle Emphasis"/>
    <w:uiPriority w:val="19"/>
    <w:qFormat/>
    <w:rsid w:val="00A73A20"/>
    <w:rPr>
      <w:i/>
      <w:iCs/>
    </w:rPr>
  </w:style>
  <w:style w:type="character" w:styleId="ae">
    <w:name w:val="Intense Emphasis"/>
    <w:uiPriority w:val="21"/>
    <w:qFormat/>
    <w:rsid w:val="00A73A2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73A20"/>
    <w:rPr>
      <w:smallCaps/>
    </w:rPr>
  </w:style>
  <w:style w:type="character" w:styleId="af0">
    <w:name w:val="Intense Reference"/>
    <w:uiPriority w:val="32"/>
    <w:qFormat/>
    <w:rsid w:val="00A73A20"/>
    <w:rPr>
      <w:b/>
      <w:bCs/>
      <w:smallCaps/>
    </w:rPr>
  </w:style>
  <w:style w:type="character" w:styleId="af1">
    <w:name w:val="Book Title"/>
    <w:basedOn w:val="a0"/>
    <w:uiPriority w:val="33"/>
    <w:qFormat/>
    <w:rsid w:val="00A73A2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unhideWhenUsed/>
    <w:qFormat/>
    <w:rsid w:val="00A73A20"/>
    <w:pPr>
      <w:outlineLvl w:val="9"/>
    </w:pPr>
  </w:style>
  <w:style w:type="paragraph" w:customStyle="1" w:styleId="-11">
    <w:name w:val="Цветной список - Акцент 11"/>
    <w:basedOn w:val="a"/>
    <w:uiPriority w:val="34"/>
    <w:qFormat/>
    <w:rsid w:val="008A74FF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paragraph" w:styleId="af3">
    <w:name w:val="Balloon Text"/>
    <w:basedOn w:val="a"/>
    <w:link w:val="af4"/>
    <w:uiPriority w:val="99"/>
    <w:semiHidden/>
    <w:unhideWhenUsed/>
    <w:rsid w:val="008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74FF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227787"/>
    <w:pPr>
      <w:spacing w:after="0" w:line="240" w:lineRule="auto"/>
    </w:pPr>
    <w:rPr>
      <w:rFonts w:asciiTheme="minorHAnsi" w:hAnsiTheme="minorHAnsi" w:cstheme="minorBid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632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632E3F"/>
  </w:style>
  <w:style w:type="paragraph" w:styleId="af8">
    <w:name w:val="footer"/>
    <w:basedOn w:val="a"/>
    <w:link w:val="af9"/>
    <w:uiPriority w:val="99"/>
    <w:unhideWhenUsed/>
    <w:rsid w:val="00632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632E3F"/>
  </w:style>
  <w:style w:type="paragraph" w:customStyle="1" w:styleId="afa">
    <w:name w:val="Таблица"/>
    <w:basedOn w:val="a"/>
    <w:link w:val="afb"/>
    <w:qFormat/>
    <w:rsid w:val="005F347C"/>
    <w:pPr>
      <w:spacing w:line="360" w:lineRule="auto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fb">
    <w:name w:val="Таблица Знак"/>
    <w:basedOn w:val="a0"/>
    <w:link w:val="afa"/>
    <w:rsid w:val="005F347C"/>
    <w:rPr>
      <w:rFonts w:ascii="Times New Roman" w:hAnsi="Times New Roman" w:cs="Times New Roman"/>
      <w:sz w:val="24"/>
      <w:szCs w:val="24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521754"/>
    <w:pPr>
      <w:spacing w:after="100"/>
    </w:pPr>
  </w:style>
  <w:style w:type="character" w:styleId="afc">
    <w:name w:val="Hyperlink"/>
    <w:basedOn w:val="a0"/>
    <w:uiPriority w:val="99"/>
    <w:unhideWhenUsed/>
    <w:rsid w:val="00521754"/>
    <w:rPr>
      <w:color w:val="0000FF" w:themeColor="hyperlink"/>
      <w:u w:val="single"/>
    </w:rPr>
  </w:style>
  <w:style w:type="paragraph" w:customStyle="1" w:styleId="afd">
    <w:name w:val="_Абзац"/>
    <w:basedOn w:val="a"/>
    <w:link w:val="afe"/>
    <w:qFormat/>
    <w:rsid w:val="00A74395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6"/>
      <w:lang w:val="ru-RU" w:bidi="ar-SA"/>
    </w:rPr>
  </w:style>
  <w:style w:type="character" w:customStyle="1" w:styleId="afe">
    <w:name w:val="_Абзац Знак"/>
    <w:basedOn w:val="a0"/>
    <w:link w:val="afd"/>
    <w:rsid w:val="00A74395"/>
    <w:rPr>
      <w:rFonts w:ascii="Times New Roman" w:hAnsi="Times New Roman" w:cs="Times New Roman"/>
      <w:sz w:val="28"/>
      <w:szCs w:val="26"/>
      <w:lang w:val="ru-RU" w:bidi="ar-SA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98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formattext">
    <w:name w:val="formattext"/>
    <w:basedOn w:val="a"/>
    <w:rsid w:val="003F1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17115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4D4D8-324A-41B9-870F-0B0F3649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Larik</cp:lastModifiedBy>
  <cp:revision>6</cp:revision>
  <dcterms:created xsi:type="dcterms:W3CDTF">2022-05-05T20:18:00Z</dcterms:created>
  <dcterms:modified xsi:type="dcterms:W3CDTF">2023-01-27T19:34:00Z</dcterms:modified>
</cp:coreProperties>
</file>